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E482" w14:textId="62A01DF1" w:rsidR="007C55CE" w:rsidRPr="00F070DE" w:rsidRDefault="00A9557D">
      <w:pPr>
        <w:pStyle w:val="BodyText"/>
        <w:spacing w:before="8"/>
        <w:rPr>
          <w:rFonts w:ascii="Times New Roman"/>
          <w:sz w:val="8"/>
          <w:lang w:val="ro-RO"/>
        </w:rPr>
      </w:pPr>
      <w:r w:rsidRPr="00F070DE">
        <w:rPr>
          <w:noProof/>
          <w:highlight w:val="yellow"/>
          <w:lang w:val="ro-RO" w:eastAsia="ro-RO"/>
        </w:rPr>
        <w:drawing>
          <wp:anchor distT="0" distB="0" distL="0" distR="0" simplePos="0" relativeHeight="15729664" behindDoc="0" locked="0" layoutInCell="1" allowOverlap="1" wp14:anchorId="3B0619BB" wp14:editId="46756926">
            <wp:simplePos x="0" y="0"/>
            <wp:positionH relativeFrom="page">
              <wp:posOffset>4620895</wp:posOffset>
            </wp:positionH>
            <wp:positionV relativeFrom="paragraph">
              <wp:posOffset>69850</wp:posOffset>
            </wp:positionV>
            <wp:extent cx="1972212" cy="71791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972212" cy="717912"/>
                    </a:xfrm>
                    <a:prstGeom prst="rect">
                      <a:avLst/>
                    </a:prstGeom>
                  </pic:spPr>
                </pic:pic>
              </a:graphicData>
            </a:graphic>
          </wp:anchor>
        </w:drawing>
      </w:r>
    </w:p>
    <w:p w14:paraId="59342AF0" w14:textId="0FFA3A8A" w:rsidR="007C55CE" w:rsidRDefault="00A9557D" w:rsidP="00A9557D">
      <w:pPr>
        <w:pStyle w:val="BodyText"/>
        <w:ind w:left="1144" w:hanging="1144"/>
        <w:jc w:val="both"/>
        <w:rPr>
          <w:noProof/>
          <w:lang w:val="ro-RO" w:eastAsia="ro-RO"/>
        </w:rPr>
      </w:pPr>
      <w:r w:rsidRPr="00F070DE">
        <w:rPr>
          <w:noProof/>
          <w:lang w:val="ro-RO" w:eastAsia="ro-RO"/>
        </w:rPr>
        <w:drawing>
          <wp:inline distT="0" distB="0" distL="0" distR="0" wp14:anchorId="6990CF54" wp14:editId="307D4812">
            <wp:extent cx="2531109" cy="542925"/>
            <wp:effectExtent l="0" t="0" r="3175" b="0"/>
            <wp:docPr id="5" name="Picture 5" descr="Institutul National pentru Sanatatea Mamei si Copilulu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ul National pentru Sanatatea Mamei si Copilulu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535" cy="550309"/>
                    </a:xfrm>
                    <a:prstGeom prst="rect">
                      <a:avLst/>
                    </a:prstGeom>
                    <a:noFill/>
                    <a:ln>
                      <a:noFill/>
                    </a:ln>
                  </pic:spPr>
                </pic:pic>
              </a:graphicData>
            </a:graphic>
          </wp:inline>
        </w:drawing>
      </w:r>
    </w:p>
    <w:p w14:paraId="5A5CD1B1" w14:textId="2AC89246" w:rsidR="004D4E28" w:rsidRPr="00F070DE" w:rsidRDefault="004D4E28" w:rsidP="00E84196">
      <w:pPr>
        <w:pStyle w:val="BodyText"/>
        <w:jc w:val="both"/>
        <w:rPr>
          <w:rFonts w:ascii="Times New Roman"/>
          <w:sz w:val="20"/>
          <w:lang w:val="ro-RO"/>
        </w:rPr>
      </w:pPr>
    </w:p>
    <w:p w14:paraId="33D36F46" w14:textId="4F75508D" w:rsidR="007C55CE" w:rsidRPr="00F070DE" w:rsidRDefault="00A65F80" w:rsidP="00A9557D">
      <w:pPr>
        <w:spacing w:before="93"/>
        <w:rPr>
          <w:sz w:val="20"/>
          <w:lang w:val="ro-RO"/>
        </w:rPr>
      </w:pPr>
      <w:r w:rsidRPr="00F070DE">
        <w:rPr>
          <w:noProof/>
          <w:lang w:val="ro-RO" w:eastAsia="ro-RO"/>
        </w:rPr>
        <mc:AlternateContent>
          <mc:Choice Requires="wps">
            <w:drawing>
              <wp:anchor distT="0" distB="0" distL="0" distR="0" simplePos="0" relativeHeight="487587840" behindDoc="1" locked="0" layoutInCell="1" allowOverlap="1" wp14:anchorId="09B81D77" wp14:editId="774F26FC">
                <wp:simplePos x="0" y="0"/>
                <wp:positionH relativeFrom="page">
                  <wp:posOffset>821690</wp:posOffset>
                </wp:positionH>
                <wp:positionV relativeFrom="paragraph">
                  <wp:posOffset>163830</wp:posOffset>
                </wp:positionV>
                <wp:extent cx="5908040" cy="6350"/>
                <wp:effectExtent l="0" t="0" r="0" b="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630BF9D" id="Rectangle 3" o:spid="_x0000_s1026" style="position:absolute;margin-left:64.7pt;margin-top:12.9pt;width:465.2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IVY+gEAANkDAAAOAAAAZHJzL2Uyb0RvYy54bWysU1Fv0zAQfkfiP1h+p0m7dmxR02nqNIQ0&#10;YGLwA66O01g4PnN2m45fz9npSoE3RB4sn+/85fu+Oy9vDr0Ve03BoKvldFJKoZ3CxrhtLb9+uX9z&#10;JUWI4Bqw6HQtn3WQN6vXr5aDr/QMO7SNJsEgLlSDr2UXo6+KIqhO9xAm6LXjZIvUQ+SQtkVDMDB6&#10;b4tZWV4WA1LjCZUOgU/vxqRcZfy21Sp+atugo7C1ZG4xr5TXTVqL1RKqLYHvjDrSgH9g0YNx/NMT&#10;1B1EEDsyf0H1RhEGbONEYV9g2xqlswZWMy3/UPPUgddZC5sT/Mmm8P9g1cf9IwnT1HIuhYOeW/SZ&#10;TQO3tVpcJHsGHyquevKPlAQG/4DqWxAO1x1X6VsiHDoNDZOapvritwspCHxVbIYP2DA67CJmpw4t&#10;9QmQPRCH3JDnU0P0IQrFh4vr8qqcc98U5y4vFrlfBVQvdz2F+E5jL9KmlsTMMzbsH0JMXKB6Kcnc&#10;0Zrm3libA9pu1pbEHtJo5C/TZ4nnZdalYofp2oiYTrLIpGv0Z4PNM2skHOeL3wNvOqQfUgw8W7UM&#10;33dAWgr73rFP19N5EhVzMF+8nXFA55nNeQacYqhaRinG7TqOA7zzZLYd/2maRTu8ZW9bk4Un30dW&#10;R7I8P9mP46ynAT2Pc9WvF7n6CQAA//8DAFBLAwQUAAYACAAAACEAPmEfld4AAAAKAQAADwAAAGRy&#10;cy9kb3ducmV2LnhtbEyPQU/DMAyF70j8h8hI3FhKtU5taToxJI5IbHBgt7QxbbXGKUm2FX493glu&#10;fvbT8/eq9WxHcUIfBkcK7hcJCKTWmYE6Be9vz3c5iBA1GT06QgXfGGBdX19VujTuTFs87WInOIRC&#10;qRX0MU6llKHt0eqwcBMS3z6dtzqy9J00Xp853I4yTZKVtHog/tDrCZ96bA+7o1WwKfLN1+uSXn62&#10;zR73H80hS32i1O3N/PgAIuIc/8xwwWd0qJmpcUcyQYys02LJVgVpxhUuhiQreGp4s8pB1pX8X6H+&#10;BQAA//8DAFBLAQItABQABgAIAAAAIQC2gziS/gAAAOEBAAATAAAAAAAAAAAAAAAAAAAAAABbQ29u&#10;dGVudF9UeXBlc10ueG1sUEsBAi0AFAAGAAgAAAAhADj9If/WAAAAlAEAAAsAAAAAAAAAAAAAAAAA&#10;LwEAAF9yZWxzLy5yZWxzUEsBAi0AFAAGAAgAAAAhACbchVj6AQAA2QMAAA4AAAAAAAAAAAAAAAAA&#10;LgIAAGRycy9lMm9Eb2MueG1sUEsBAi0AFAAGAAgAAAAhAD5hH5XeAAAACgEAAA8AAAAAAAAAAAAA&#10;AAAAVAQAAGRycy9kb3ducmV2LnhtbFBLBQYAAAAABAAEAPMAAABfBQAAAAA=&#10;" fillcolor="black" stroked="f">
                <w10:wrap type="topAndBottom" anchorx="page"/>
              </v:rect>
            </w:pict>
          </mc:Fallback>
        </mc:AlternateContent>
      </w:r>
    </w:p>
    <w:p w14:paraId="0379B5DD" w14:textId="026A973A" w:rsidR="007C55CE" w:rsidRPr="005C554E" w:rsidRDefault="00A65F80">
      <w:pPr>
        <w:pStyle w:val="BodyText"/>
        <w:spacing w:before="94"/>
        <w:ind w:left="136"/>
        <w:rPr>
          <w:rFonts w:asciiTheme="minorHAnsi" w:hAnsiTheme="minorHAnsi" w:cstheme="minorHAnsi"/>
          <w:lang w:val="ro-RO"/>
        </w:rPr>
      </w:pPr>
      <w:r w:rsidRPr="005C554E">
        <w:rPr>
          <w:rFonts w:asciiTheme="minorHAnsi" w:hAnsiTheme="minorHAnsi" w:cstheme="minorHAnsi"/>
          <w:lang w:val="ro-RO"/>
        </w:rPr>
        <w:t>Da</w:t>
      </w:r>
      <w:r w:rsidR="00A9557D" w:rsidRPr="005C554E">
        <w:rPr>
          <w:rFonts w:asciiTheme="minorHAnsi" w:hAnsiTheme="minorHAnsi" w:cstheme="minorHAnsi"/>
          <w:lang w:val="ro-RO"/>
        </w:rPr>
        <w:t>ta</w:t>
      </w:r>
      <w:r w:rsidRPr="005C554E">
        <w:rPr>
          <w:rFonts w:asciiTheme="minorHAnsi" w:hAnsiTheme="minorHAnsi" w:cstheme="minorHAnsi"/>
          <w:lang w:val="ro-RO"/>
        </w:rPr>
        <w:t xml:space="preserve">: </w:t>
      </w:r>
      <w:r w:rsidR="00AB770E">
        <w:rPr>
          <w:rFonts w:asciiTheme="minorHAnsi" w:hAnsiTheme="minorHAnsi" w:cstheme="minorHAnsi"/>
          <w:highlight w:val="yellow"/>
          <w:lang w:val="ro-RO"/>
        </w:rPr>
        <w:t>15</w:t>
      </w:r>
      <w:r w:rsidR="00665969" w:rsidRPr="00F30492">
        <w:rPr>
          <w:rFonts w:asciiTheme="minorHAnsi" w:hAnsiTheme="minorHAnsi" w:cstheme="minorHAnsi"/>
          <w:highlight w:val="yellow"/>
          <w:lang w:val="ro-RO"/>
        </w:rPr>
        <w:t>.06</w:t>
      </w:r>
      <w:r w:rsidR="005C554E" w:rsidRPr="00F30492">
        <w:rPr>
          <w:rFonts w:asciiTheme="minorHAnsi" w:hAnsiTheme="minorHAnsi" w:cstheme="minorHAnsi"/>
          <w:highlight w:val="yellow"/>
          <w:lang w:val="ro-RO"/>
        </w:rPr>
        <w:t>.2021</w:t>
      </w:r>
    </w:p>
    <w:p w14:paraId="6F429B73" w14:textId="4BDC6315" w:rsidR="007C55CE" w:rsidRPr="005C554E" w:rsidRDefault="00A9557D">
      <w:pPr>
        <w:pStyle w:val="BodyText"/>
        <w:spacing w:before="126"/>
        <w:ind w:left="136"/>
        <w:rPr>
          <w:rFonts w:asciiTheme="minorHAnsi" w:hAnsiTheme="minorHAnsi" w:cstheme="minorHAnsi"/>
          <w:lang w:val="ro-RO"/>
        </w:rPr>
      </w:pPr>
      <w:r w:rsidRPr="005C554E">
        <w:rPr>
          <w:rFonts w:asciiTheme="minorHAnsi" w:hAnsiTheme="minorHAnsi" w:cstheme="minorHAnsi"/>
          <w:lang w:val="ro-RO"/>
        </w:rPr>
        <w:t>Comunicat de presă</w:t>
      </w:r>
    </w:p>
    <w:p w14:paraId="69528582" w14:textId="77777777" w:rsidR="007C55CE" w:rsidRPr="00F070DE" w:rsidRDefault="007C55CE">
      <w:pPr>
        <w:pStyle w:val="BodyText"/>
        <w:rPr>
          <w:sz w:val="24"/>
          <w:lang w:val="ro-RO"/>
        </w:rPr>
      </w:pPr>
    </w:p>
    <w:p w14:paraId="1DD8BA73" w14:textId="77777777" w:rsidR="007C55CE" w:rsidRPr="00F070DE" w:rsidRDefault="007C55CE">
      <w:pPr>
        <w:pStyle w:val="BodyText"/>
        <w:spacing w:before="3"/>
        <w:rPr>
          <w:sz w:val="23"/>
          <w:lang w:val="ro-RO"/>
        </w:rPr>
      </w:pPr>
    </w:p>
    <w:p w14:paraId="78E475A7" w14:textId="77777777" w:rsidR="00A9557D" w:rsidRPr="00F070DE" w:rsidRDefault="00A9557D" w:rsidP="003336B9">
      <w:pPr>
        <w:pStyle w:val="Title"/>
        <w:spacing w:line="360" w:lineRule="auto"/>
        <w:ind w:left="1112" w:firstLine="0"/>
        <w:jc w:val="center"/>
        <w:rPr>
          <w:lang w:val="ro-RO"/>
        </w:rPr>
      </w:pPr>
    </w:p>
    <w:p w14:paraId="28F9B182" w14:textId="2FA26BB7" w:rsidR="005C554E" w:rsidRDefault="005C554E" w:rsidP="003336B9">
      <w:pPr>
        <w:pStyle w:val="Title"/>
        <w:spacing w:line="360" w:lineRule="auto"/>
        <w:ind w:left="1112" w:firstLine="0"/>
        <w:jc w:val="center"/>
        <w:rPr>
          <w:lang w:val="ro-RO"/>
        </w:rPr>
      </w:pPr>
      <w:r>
        <w:rPr>
          <w:lang w:val="ro-RO"/>
        </w:rPr>
        <w:t xml:space="preserve">Persoanele cu boală celiacă </w:t>
      </w:r>
      <w:r w:rsidR="00E00DE2">
        <w:rPr>
          <w:lang w:val="ro-RO"/>
        </w:rPr>
        <w:t xml:space="preserve">întâmpină dificultăți în </w:t>
      </w:r>
      <w:r w:rsidR="00627050">
        <w:rPr>
          <w:lang w:val="ro-RO"/>
        </w:rPr>
        <w:t>accesul la dieta fără gluten</w:t>
      </w:r>
    </w:p>
    <w:p w14:paraId="56EB4774" w14:textId="77777777" w:rsidR="005C554E" w:rsidRDefault="005C554E" w:rsidP="003336B9">
      <w:pPr>
        <w:pStyle w:val="Title"/>
        <w:spacing w:line="360" w:lineRule="auto"/>
        <w:ind w:left="1112" w:firstLine="0"/>
        <w:jc w:val="center"/>
        <w:rPr>
          <w:lang w:val="ro-RO"/>
        </w:rPr>
      </w:pPr>
    </w:p>
    <w:p w14:paraId="3E24D9B4" w14:textId="56C25A10" w:rsidR="005C554E" w:rsidRPr="005C554E" w:rsidRDefault="005C554E" w:rsidP="003336B9">
      <w:pPr>
        <w:spacing w:before="197" w:line="360" w:lineRule="auto"/>
        <w:ind w:left="136" w:right="134"/>
        <w:jc w:val="both"/>
        <w:rPr>
          <w:rFonts w:asciiTheme="minorHAnsi" w:hAnsiTheme="minorHAnsi" w:cstheme="minorHAnsi"/>
          <w:b/>
          <w:i/>
          <w:sz w:val="24"/>
          <w:lang w:val="ro-RO"/>
        </w:rPr>
      </w:pPr>
      <w:r w:rsidRPr="005C554E">
        <w:rPr>
          <w:rFonts w:asciiTheme="minorHAnsi" w:hAnsiTheme="minorHAnsi" w:cstheme="minorHAnsi"/>
          <w:b/>
          <w:i/>
          <w:sz w:val="24"/>
          <w:lang w:val="ro-RO"/>
        </w:rPr>
        <w:t xml:space="preserve">Partenerii din proiectul CD Skills dezvoltă un </w:t>
      </w:r>
      <w:r w:rsidR="006E6224">
        <w:rPr>
          <w:rFonts w:asciiTheme="minorHAnsi" w:hAnsiTheme="minorHAnsi" w:cstheme="minorHAnsi"/>
          <w:b/>
          <w:i/>
          <w:sz w:val="24"/>
          <w:lang w:val="ro-RO"/>
        </w:rPr>
        <w:t>nou</w:t>
      </w:r>
      <w:r w:rsidRPr="005C554E">
        <w:rPr>
          <w:rFonts w:asciiTheme="minorHAnsi" w:hAnsiTheme="minorHAnsi" w:cstheme="minorHAnsi"/>
          <w:b/>
          <w:i/>
          <w:sz w:val="24"/>
          <w:lang w:val="ro-RO"/>
        </w:rPr>
        <w:t xml:space="preserve"> model educați</w:t>
      </w:r>
      <w:r w:rsidR="006E6224">
        <w:rPr>
          <w:rFonts w:asciiTheme="minorHAnsi" w:hAnsiTheme="minorHAnsi" w:cstheme="minorHAnsi"/>
          <w:b/>
          <w:i/>
          <w:sz w:val="24"/>
          <w:lang w:val="ro-RO"/>
        </w:rPr>
        <w:t>onal pentru toți cei implicați î</w:t>
      </w:r>
      <w:r w:rsidRPr="005C554E">
        <w:rPr>
          <w:rFonts w:asciiTheme="minorHAnsi" w:hAnsiTheme="minorHAnsi" w:cstheme="minorHAnsi"/>
          <w:b/>
          <w:i/>
          <w:sz w:val="24"/>
          <w:lang w:val="ro-RO"/>
        </w:rPr>
        <w:t>n dieta fără gluten.</w:t>
      </w:r>
    </w:p>
    <w:p w14:paraId="6E3F2E78" w14:textId="71D7132E" w:rsidR="00665969" w:rsidRPr="00F30492" w:rsidRDefault="00665969" w:rsidP="003F10C8">
      <w:pPr>
        <w:pStyle w:val="BodyText"/>
        <w:spacing w:before="201" w:line="360" w:lineRule="auto"/>
        <w:ind w:left="136" w:right="130"/>
        <w:jc w:val="both"/>
        <w:rPr>
          <w:rFonts w:asciiTheme="minorHAnsi" w:hAnsiTheme="minorHAnsi" w:cstheme="minorHAnsi"/>
          <w:color w:val="000000" w:themeColor="text1"/>
          <w:lang w:val="ro-RO"/>
        </w:rPr>
      </w:pPr>
      <w:r w:rsidRPr="00F30492">
        <w:rPr>
          <w:rFonts w:asciiTheme="minorHAnsi" w:hAnsiTheme="minorHAnsi" w:cstheme="minorHAnsi"/>
          <w:color w:val="000000" w:themeColor="text1"/>
          <w:lang w:val="ro-RO"/>
        </w:rPr>
        <w:t>Pentru a marca luna mai</w:t>
      </w:r>
      <w:r w:rsidR="00F30492" w:rsidRPr="00F30492">
        <w:rPr>
          <w:rFonts w:asciiTheme="minorHAnsi" w:hAnsiTheme="minorHAnsi" w:cstheme="minorHAnsi"/>
          <w:color w:val="000000" w:themeColor="text1"/>
          <w:lang w:val="ro-RO"/>
        </w:rPr>
        <w:t>,</w:t>
      </w:r>
      <w:r w:rsidRPr="00F30492">
        <w:rPr>
          <w:rFonts w:asciiTheme="minorHAnsi" w:hAnsiTheme="minorHAnsi" w:cstheme="minorHAnsi"/>
          <w:color w:val="000000" w:themeColor="text1"/>
          <w:lang w:val="ro-RO"/>
        </w:rPr>
        <w:t xml:space="preserve"> dedicată conștientizării bolii celiace, </w:t>
      </w:r>
      <w:r w:rsidR="00D2614E" w:rsidRPr="00F30492">
        <w:rPr>
          <w:rFonts w:asciiTheme="minorHAnsi" w:hAnsiTheme="minorHAnsi" w:cstheme="minorHAnsi"/>
          <w:color w:val="000000" w:themeColor="text1"/>
          <w:lang w:val="ro-RO"/>
        </w:rPr>
        <w:t>Institutul pentru Sănătatea Mamei și Copilului “Alessandrescu-Rusescu” București (INSMC</w:t>
      </w:r>
      <w:r w:rsidR="003F10C8" w:rsidRPr="00F30492">
        <w:rPr>
          <w:rFonts w:asciiTheme="minorHAnsi" w:hAnsiTheme="minorHAnsi" w:cstheme="minorHAnsi"/>
          <w:color w:val="000000" w:themeColor="text1"/>
          <w:lang w:val="ro-RO"/>
        </w:rPr>
        <w:t>)</w:t>
      </w:r>
      <w:r w:rsidR="00D2614E" w:rsidRPr="00F30492">
        <w:rPr>
          <w:rFonts w:asciiTheme="minorHAnsi" w:hAnsiTheme="minorHAnsi" w:cstheme="minorHAnsi"/>
          <w:color w:val="000000" w:themeColor="text1"/>
          <w:lang w:val="ro-RO"/>
        </w:rPr>
        <w:t xml:space="preserve"> a </w:t>
      </w:r>
      <w:r w:rsidRPr="00F30492">
        <w:rPr>
          <w:rFonts w:asciiTheme="minorHAnsi" w:hAnsiTheme="minorHAnsi" w:cstheme="minorHAnsi"/>
          <w:color w:val="000000" w:themeColor="text1"/>
          <w:lang w:val="ro-RO"/>
        </w:rPr>
        <w:t xml:space="preserve">derulat o serie de activități educaționale pentru o mai bună cunoaștere a acestei afecțiuni. </w:t>
      </w:r>
      <w:r w:rsidR="003F10C8" w:rsidRPr="00F30492">
        <w:rPr>
          <w:rFonts w:asciiTheme="minorHAnsi" w:hAnsiTheme="minorHAnsi" w:cstheme="minorHAnsi"/>
          <w:color w:val="000000" w:themeColor="text1"/>
          <w:lang w:val="ro-RO"/>
        </w:rPr>
        <w:t>INSMC, împreună cu partenerii din proiectul european CD Skills, susține necesitatea unei mai bune cunoașteri a bolii celiace și a dificultăților pe care le înt</w:t>
      </w:r>
      <w:r w:rsidR="00FE36D2" w:rsidRPr="00F30492">
        <w:rPr>
          <w:rFonts w:asciiTheme="minorHAnsi" w:hAnsiTheme="minorHAnsi" w:cstheme="minorHAnsi"/>
          <w:color w:val="000000" w:themeColor="text1"/>
          <w:lang w:val="ro-RO"/>
        </w:rPr>
        <w:t>â</w:t>
      </w:r>
      <w:r w:rsidR="003F10C8" w:rsidRPr="00F30492">
        <w:rPr>
          <w:rFonts w:asciiTheme="minorHAnsi" w:hAnsiTheme="minorHAnsi" w:cstheme="minorHAnsi"/>
          <w:color w:val="000000" w:themeColor="text1"/>
          <w:lang w:val="ro-RO"/>
        </w:rPr>
        <w:t>mpină persoanele cu boală celiacă</w:t>
      </w:r>
      <w:r w:rsidR="00FE36D2" w:rsidRPr="00F30492">
        <w:rPr>
          <w:rFonts w:asciiTheme="minorHAnsi" w:hAnsiTheme="minorHAnsi" w:cstheme="minorHAnsi"/>
          <w:color w:val="000000" w:themeColor="text1"/>
          <w:lang w:val="ro-RO"/>
        </w:rPr>
        <w:t xml:space="preserve"> în respectarea dietei stricte fără gluten</w:t>
      </w:r>
      <w:r w:rsidR="003F10C8" w:rsidRPr="00F30492">
        <w:rPr>
          <w:rFonts w:asciiTheme="minorHAnsi" w:hAnsiTheme="minorHAnsi" w:cstheme="minorHAnsi"/>
          <w:color w:val="000000" w:themeColor="text1"/>
          <w:lang w:val="ro-RO"/>
        </w:rPr>
        <w:t xml:space="preserve">. </w:t>
      </w:r>
    </w:p>
    <w:p w14:paraId="25EB00A7" w14:textId="138ED318" w:rsidR="000E2408" w:rsidRDefault="007C3BA4" w:rsidP="007C3BA4">
      <w:pPr>
        <w:pStyle w:val="BodyText"/>
        <w:spacing w:before="201" w:line="360" w:lineRule="auto"/>
        <w:ind w:left="136" w:right="130"/>
        <w:jc w:val="both"/>
        <w:rPr>
          <w:rFonts w:asciiTheme="minorHAnsi" w:hAnsiTheme="minorHAnsi" w:cstheme="minorHAnsi"/>
          <w:color w:val="000000" w:themeColor="text1"/>
          <w:lang w:val="ro-RO"/>
        </w:rPr>
      </w:pPr>
      <w:r w:rsidRPr="005C554E">
        <w:rPr>
          <w:rFonts w:asciiTheme="minorHAnsi" w:hAnsiTheme="minorHAnsi" w:cstheme="minorHAnsi"/>
          <w:b/>
          <w:color w:val="000000" w:themeColor="text1"/>
          <w:lang w:val="ro-RO"/>
        </w:rPr>
        <w:t>Boala celiacă</w:t>
      </w:r>
      <w:r w:rsidRPr="005C554E">
        <w:rPr>
          <w:rFonts w:asciiTheme="minorHAnsi" w:hAnsiTheme="minorHAnsi" w:cstheme="minorHAnsi"/>
          <w:color w:val="000000" w:themeColor="text1"/>
          <w:lang w:val="ro-RO"/>
        </w:rPr>
        <w:t xml:space="preserve"> este o afecțiune autoimună sistemică care apare </w:t>
      </w:r>
      <w:r w:rsidR="005C554E" w:rsidRPr="005C554E">
        <w:rPr>
          <w:rFonts w:asciiTheme="minorHAnsi" w:hAnsiTheme="minorHAnsi" w:cstheme="minorHAnsi"/>
          <w:color w:val="000000" w:themeColor="text1"/>
          <w:lang w:val="ro-RO"/>
        </w:rPr>
        <w:t>în urma consumului de gluten, o proteină prezentă în grâu, orz și secară</w:t>
      </w:r>
      <w:r w:rsidR="005C554E">
        <w:rPr>
          <w:rFonts w:asciiTheme="minorHAnsi" w:hAnsiTheme="minorHAnsi" w:cstheme="minorHAnsi"/>
          <w:color w:val="000000" w:themeColor="text1"/>
          <w:lang w:val="ro-RO"/>
        </w:rPr>
        <w:t>,</w:t>
      </w:r>
      <w:r w:rsidR="005C554E" w:rsidRPr="005C554E">
        <w:rPr>
          <w:rFonts w:asciiTheme="minorHAnsi" w:hAnsiTheme="minorHAnsi" w:cstheme="minorHAnsi"/>
          <w:color w:val="000000" w:themeColor="text1"/>
          <w:lang w:val="ro-RO"/>
        </w:rPr>
        <w:t xml:space="preserve"> </w:t>
      </w:r>
      <w:r w:rsidRPr="005C554E">
        <w:rPr>
          <w:rFonts w:asciiTheme="minorHAnsi" w:hAnsiTheme="minorHAnsi" w:cstheme="minorHAnsi"/>
          <w:color w:val="000000" w:themeColor="text1"/>
          <w:lang w:val="ro-RO"/>
        </w:rPr>
        <w:t xml:space="preserve">la persoanele cu predispoziție genetică. Dieta strictă fără gluten pe toată durata vieții este singurul tratament în boala celiacă. </w:t>
      </w:r>
      <w:r w:rsidR="000E2408">
        <w:rPr>
          <w:rFonts w:asciiTheme="minorHAnsi" w:hAnsiTheme="minorHAnsi" w:cstheme="minorHAnsi"/>
          <w:color w:val="000000" w:themeColor="text1"/>
          <w:lang w:val="ro-RO"/>
        </w:rPr>
        <w:t xml:space="preserve">Orice consum intenționat sau accidental de gluten poate duce la apariția de </w:t>
      </w:r>
      <w:r w:rsidR="000E2408" w:rsidRPr="005C554E">
        <w:rPr>
          <w:rFonts w:asciiTheme="minorHAnsi" w:hAnsiTheme="minorHAnsi" w:cstheme="minorHAnsi"/>
          <w:color w:val="000000" w:themeColor="text1"/>
          <w:lang w:val="ro-RO"/>
        </w:rPr>
        <w:t>complicații severe</w:t>
      </w:r>
      <w:r w:rsidR="000E2408">
        <w:rPr>
          <w:rFonts w:asciiTheme="minorHAnsi" w:hAnsiTheme="minorHAnsi" w:cstheme="minorHAnsi"/>
          <w:color w:val="000000" w:themeColor="text1"/>
          <w:lang w:val="ro-RO"/>
        </w:rPr>
        <w:t xml:space="preserve"> și permanente asupra sănătății persoanelor cu boală celiacă</w:t>
      </w:r>
      <w:r w:rsidR="006E6224">
        <w:rPr>
          <w:rFonts w:asciiTheme="minorHAnsi" w:hAnsiTheme="minorHAnsi" w:cstheme="minorHAnsi"/>
          <w:color w:val="000000" w:themeColor="text1"/>
          <w:lang w:val="ro-RO"/>
        </w:rPr>
        <w:t xml:space="preserve">. Implicațiile sunt </w:t>
      </w:r>
      <w:r w:rsidR="000E2408">
        <w:rPr>
          <w:rFonts w:asciiTheme="minorHAnsi" w:hAnsiTheme="minorHAnsi" w:cstheme="minorHAnsi"/>
          <w:color w:val="000000" w:themeColor="text1"/>
          <w:lang w:val="ro-RO"/>
        </w:rPr>
        <w:t xml:space="preserve">o morbiditate și mortalitate ridicată, afectarea performanței școlare, creșterea absenteismului </w:t>
      </w:r>
      <w:r w:rsidR="006E6224">
        <w:rPr>
          <w:rFonts w:asciiTheme="minorHAnsi" w:hAnsiTheme="minorHAnsi" w:cstheme="minorHAnsi"/>
          <w:color w:val="000000" w:themeColor="text1"/>
          <w:lang w:val="ro-RO"/>
        </w:rPr>
        <w:t xml:space="preserve">la muncă și școală, </w:t>
      </w:r>
      <w:r w:rsidR="000E2408">
        <w:rPr>
          <w:rFonts w:asciiTheme="minorHAnsi" w:hAnsiTheme="minorHAnsi" w:cstheme="minorHAnsi"/>
          <w:color w:val="000000" w:themeColor="text1"/>
          <w:lang w:val="ro-RO"/>
        </w:rPr>
        <w:t>efect</w:t>
      </w:r>
      <w:r w:rsidR="006E6224">
        <w:rPr>
          <w:rFonts w:asciiTheme="minorHAnsi" w:hAnsiTheme="minorHAnsi" w:cstheme="minorHAnsi"/>
          <w:color w:val="000000" w:themeColor="text1"/>
          <w:lang w:val="ro-RO"/>
        </w:rPr>
        <w:t>e</w:t>
      </w:r>
      <w:r w:rsidR="000E2408">
        <w:rPr>
          <w:rFonts w:asciiTheme="minorHAnsi" w:hAnsiTheme="minorHAnsi" w:cstheme="minorHAnsi"/>
          <w:color w:val="000000" w:themeColor="text1"/>
          <w:lang w:val="ro-RO"/>
        </w:rPr>
        <w:t xml:space="preserve"> negativ</w:t>
      </w:r>
      <w:r w:rsidR="006E6224">
        <w:rPr>
          <w:rFonts w:asciiTheme="minorHAnsi" w:hAnsiTheme="minorHAnsi" w:cstheme="minorHAnsi"/>
          <w:color w:val="000000" w:themeColor="text1"/>
          <w:lang w:val="ro-RO"/>
        </w:rPr>
        <w:t>e</w:t>
      </w:r>
      <w:r w:rsidR="000E2408">
        <w:rPr>
          <w:rFonts w:asciiTheme="minorHAnsi" w:hAnsiTheme="minorHAnsi" w:cstheme="minorHAnsi"/>
          <w:color w:val="000000" w:themeColor="text1"/>
          <w:lang w:val="ro-RO"/>
        </w:rPr>
        <w:t xml:space="preserve"> asupra sistemului de sănătate și </w:t>
      </w:r>
      <w:r w:rsidR="0021659C">
        <w:rPr>
          <w:rFonts w:asciiTheme="minorHAnsi" w:hAnsiTheme="minorHAnsi" w:cstheme="minorHAnsi"/>
          <w:color w:val="000000" w:themeColor="text1"/>
          <w:lang w:val="ro-RO"/>
        </w:rPr>
        <w:t>a</w:t>
      </w:r>
      <w:r w:rsidR="000E2408">
        <w:rPr>
          <w:rFonts w:asciiTheme="minorHAnsi" w:hAnsiTheme="minorHAnsi" w:cstheme="minorHAnsi"/>
          <w:color w:val="000000" w:themeColor="text1"/>
          <w:lang w:val="ro-RO"/>
        </w:rPr>
        <w:t xml:space="preserve"> societății, în general.</w:t>
      </w:r>
    </w:p>
    <w:p w14:paraId="70045759" w14:textId="7AF92005" w:rsidR="005C554E" w:rsidRDefault="005C554E" w:rsidP="007C3BA4">
      <w:pPr>
        <w:pStyle w:val="BodyText"/>
        <w:spacing w:before="201" w:line="360" w:lineRule="auto"/>
        <w:ind w:left="136" w:right="130"/>
        <w:jc w:val="both"/>
        <w:rPr>
          <w:rFonts w:asciiTheme="minorHAnsi" w:hAnsiTheme="minorHAnsi" w:cstheme="minorHAnsi"/>
          <w:color w:val="000000" w:themeColor="text1"/>
          <w:lang w:val="ro-RO"/>
        </w:rPr>
      </w:pPr>
      <w:r w:rsidRPr="005C554E">
        <w:rPr>
          <w:rFonts w:asciiTheme="minorHAnsi" w:hAnsiTheme="minorHAnsi" w:cstheme="minorHAnsi"/>
          <w:color w:val="000000" w:themeColor="text1"/>
          <w:lang w:val="ro-RO"/>
        </w:rPr>
        <w:t>Boala celiacă poate apărea la orice vârstă, dar de obicei debutează în copilărie.</w:t>
      </w:r>
      <w:r w:rsidR="000E2408">
        <w:rPr>
          <w:rFonts w:asciiTheme="minorHAnsi" w:hAnsiTheme="minorHAnsi" w:cstheme="minorHAnsi"/>
          <w:color w:val="000000" w:themeColor="text1"/>
          <w:lang w:val="ro-RO"/>
        </w:rPr>
        <w:t xml:space="preserve"> Boala afectează de două ori mai mu</w:t>
      </w:r>
      <w:r w:rsidR="00E00DE2">
        <w:rPr>
          <w:rFonts w:asciiTheme="minorHAnsi" w:hAnsiTheme="minorHAnsi" w:cstheme="minorHAnsi"/>
          <w:color w:val="000000" w:themeColor="text1"/>
          <w:lang w:val="ro-RO"/>
        </w:rPr>
        <w:t>l</w:t>
      </w:r>
      <w:r w:rsidR="000E2408">
        <w:rPr>
          <w:rFonts w:asciiTheme="minorHAnsi" w:hAnsiTheme="minorHAnsi" w:cstheme="minorHAnsi"/>
          <w:color w:val="000000" w:themeColor="text1"/>
          <w:lang w:val="ro-RO"/>
        </w:rPr>
        <w:t xml:space="preserve">te femei decât bărbați. </w:t>
      </w:r>
      <w:r w:rsidR="0021659C">
        <w:rPr>
          <w:rFonts w:asciiTheme="minorHAnsi" w:hAnsiTheme="minorHAnsi" w:cstheme="minorHAnsi"/>
          <w:color w:val="000000" w:themeColor="text1"/>
          <w:lang w:val="ro-RO"/>
        </w:rPr>
        <w:t>Aproximativ 1% din populație suferă probabil de boala celiacă, adică 1.2 milioane de persoane din regiunea Dunării. Există însă un procent ridicat de persoane (80%) care rămân nediagnosticate sau sunt diagnosticate cu înt</w:t>
      </w:r>
      <w:r w:rsidR="006E6224">
        <w:rPr>
          <w:rFonts w:asciiTheme="minorHAnsi" w:hAnsiTheme="minorHAnsi" w:cstheme="minorHAnsi"/>
          <w:color w:val="000000" w:themeColor="text1"/>
          <w:lang w:val="ro-RO"/>
        </w:rPr>
        <w:t>â</w:t>
      </w:r>
      <w:r w:rsidR="0021659C">
        <w:rPr>
          <w:rFonts w:asciiTheme="minorHAnsi" w:hAnsiTheme="minorHAnsi" w:cstheme="minorHAnsi"/>
          <w:color w:val="000000" w:themeColor="text1"/>
          <w:lang w:val="ro-RO"/>
        </w:rPr>
        <w:t>rziere, cu până la 10 ani. Motivele diagnosticului târziu și al nediagnosticării sunt lipsa</w:t>
      </w:r>
      <w:r w:rsidR="000E2408">
        <w:rPr>
          <w:rFonts w:asciiTheme="minorHAnsi" w:hAnsiTheme="minorHAnsi" w:cstheme="minorHAnsi"/>
          <w:color w:val="000000" w:themeColor="text1"/>
          <w:lang w:val="ro-RO"/>
        </w:rPr>
        <w:t xml:space="preserve"> </w:t>
      </w:r>
      <w:r w:rsidR="0021659C">
        <w:rPr>
          <w:rFonts w:asciiTheme="minorHAnsi" w:hAnsiTheme="minorHAnsi" w:cstheme="minorHAnsi"/>
          <w:color w:val="000000" w:themeColor="text1"/>
          <w:lang w:val="ro-RO"/>
        </w:rPr>
        <w:t xml:space="preserve">cunoștințelor legate de boală, accessul limitat la </w:t>
      </w:r>
      <w:r w:rsidR="00315955">
        <w:rPr>
          <w:rFonts w:asciiTheme="minorHAnsi" w:hAnsiTheme="minorHAnsi" w:cstheme="minorHAnsi"/>
          <w:color w:val="000000" w:themeColor="text1"/>
          <w:lang w:val="ro-RO"/>
        </w:rPr>
        <w:t xml:space="preserve">metode de </w:t>
      </w:r>
      <w:r w:rsidR="00315955">
        <w:rPr>
          <w:rFonts w:asciiTheme="minorHAnsi" w:hAnsiTheme="minorHAnsi" w:cstheme="minorHAnsi"/>
          <w:color w:val="000000" w:themeColor="text1"/>
          <w:lang w:val="ro-RO"/>
        </w:rPr>
        <w:lastRenderedPageBreak/>
        <w:t xml:space="preserve">diagnostic, metode educaționale relativ puține și un schimb ineficient de informații. </w:t>
      </w:r>
    </w:p>
    <w:p w14:paraId="10658848" w14:textId="5E1E5C77" w:rsidR="00DD7067" w:rsidRPr="00F30492" w:rsidRDefault="00FE36D2" w:rsidP="007C3BA4">
      <w:pPr>
        <w:pStyle w:val="BodyText"/>
        <w:spacing w:before="201" w:line="360" w:lineRule="auto"/>
        <w:ind w:left="136" w:right="130"/>
        <w:jc w:val="both"/>
        <w:rPr>
          <w:rFonts w:asciiTheme="minorHAnsi" w:hAnsiTheme="minorHAnsi" w:cstheme="minorHAnsi"/>
          <w:color w:val="000000" w:themeColor="text1"/>
          <w:lang w:val="ro-RO"/>
        </w:rPr>
      </w:pPr>
      <w:r>
        <w:rPr>
          <w:rFonts w:asciiTheme="minorHAnsi" w:hAnsiTheme="minorHAnsi" w:cstheme="minorHAnsi"/>
          <w:color w:val="000000" w:themeColor="text1"/>
          <w:lang w:val="ro-RO"/>
        </w:rPr>
        <w:t>Persoanele cu boală celiacă întâ</w:t>
      </w:r>
      <w:r w:rsidR="00315955">
        <w:rPr>
          <w:rFonts w:asciiTheme="minorHAnsi" w:hAnsiTheme="minorHAnsi" w:cstheme="minorHAnsi"/>
          <w:color w:val="000000" w:themeColor="text1"/>
          <w:lang w:val="ro-RO"/>
        </w:rPr>
        <w:t xml:space="preserve">mpină o serie de dificultăți în urmarea unei diete stricte fără gluten: prețul produselor fără gluten este mult mai ridicat decât cel al produselor cu gluten, bucătariile publice de la locurile de muncă, din grădinițe, școli, case de îngrijire vârstnici, restaurante, </w:t>
      </w:r>
      <w:r w:rsidR="00DD7067">
        <w:rPr>
          <w:rFonts w:asciiTheme="minorHAnsi" w:hAnsiTheme="minorHAnsi" w:cstheme="minorHAnsi"/>
          <w:color w:val="000000" w:themeColor="text1"/>
          <w:lang w:val="ro-RO"/>
        </w:rPr>
        <w:t>spitale nu au echipament dedicat și cunoștințe pentru a pregăti alimente fără</w:t>
      </w:r>
      <w:r w:rsidR="00E00DE2">
        <w:rPr>
          <w:rFonts w:asciiTheme="minorHAnsi" w:hAnsiTheme="minorHAnsi" w:cstheme="minorHAnsi"/>
          <w:color w:val="000000" w:themeColor="text1"/>
          <w:lang w:val="ro-RO"/>
        </w:rPr>
        <w:t xml:space="preserve"> </w:t>
      </w:r>
      <w:r w:rsidR="00DD7067">
        <w:rPr>
          <w:rFonts w:asciiTheme="minorHAnsi" w:hAnsiTheme="minorHAnsi" w:cstheme="minorHAnsi"/>
          <w:color w:val="000000" w:themeColor="text1"/>
          <w:lang w:val="ro-RO"/>
        </w:rPr>
        <w:t xml:space="preserve">gluten. De aceea, toți cei care au boală </w:t>
      </w:r>
      <w:r w:rsidR="00DD7067" w:rsidRPr="00F30492">
        <w:rPr>
          <w:rFonts w:asciiTheme="minorHAnsi" w:hAnsiTheme="minorHAnsi" w:cstheme="minorHAnsi"/>
          <w:color w:val="000000" w:themeColor="text1"/>
          <w:lang w:val="ro-RO"/>
        </w:rPr>
        <w:t xml:space="preserve">celiacă, de la copii și tineri la adulți și vârstnici, </w:t>
      </w:r>
      <w:r w:rsidR="006E6224" w:rsidRPr="00F30492">
        <w:rPr>
          <w:rFonts w:asciiTheme="minorHAnsi" w:hAnsiTheme="minorHAnsi" w:cstheme="minorHAnsi"/>
          <w:color w:val="000000" w:themeColor="text1"/>
          <w:lang w:val="ro-RO"/>
        </w:rPr>
        <w:t xml:space="preserve">întâmpină dificultăți foarte mari </w:t>
      </w:r>
      <w:r w:rsidR="00DD7067" w:rsidRPr="00F30492">
        <w:rPr>
          <w:rFonts w:asciiTheme="minorHAnsi" w:hAnsiTheme="minorHAnsi" w:cstheme="minorHAnsi"/>
          <w:color w:val="000000" w:themeColor="text1"/>
          <w:lang w:val="ro-RO"/>
        </w:rPr>
        <w:t xml:space="preserve">în a mânca în afara casei sau </w:t>
      </w:r>
      <w:r w:rsidR="006E6224" w:rsidRPr="00F30492">
        <w:rPr>
          <w:rFonts w:asciiTheme="minorHAnsi" w:hAnsiTheme="minorHAnsi" w:cstheme="minorHAnsi"/>
          <w:color w:val="000000" w:themeColor="text1"/>
          <w:lang w:val="ro-RO"/>
        </w:rPr>
        <w:t xml:space="preserve">în a beneficia de </w:t>
      </w:r>
      <w:r w:rsidR="00DD7067" w:rsidRPr="00F30492">
        <w:rPr>
          <w:rFonts w:asciiTheme="minorHAnsi" w:hAnsiTheme="minorHAnsi" w:cstheme="minorHAnsi"/>
          <w:color w:val="000000" w:themeColor="text1"/>
          <w:lang w:val="ro-RO"/>
        </w:rPr>
        <w:t>o masă cald</w:t>
      </w:r>
      <w:r w:rsidR="00D2614E" w:rsidRPr="00F30492">
        <w:rPr>
          <w:rFonts w:asciiTheme="minorHAnsi" w:hAnsiTheme="minorHAnsi" w:cstheme="minorHAnsi"/>
          <w:color w:val="000000" w:themeColor="text1"/>
          <w:lang w:val="ro-RO"/>
        </w:rPr>
        <w:t>ă</w:t>
      </w:r>
      <w:r w:rsidR="00DD7067" w:rsidRPr="00F30492">
        <w:rPr>
          <w:rFonts w:asciiTheme="minorHAnsi" w:hAnsiTheme="minorHAnsi" w:cstheme="minorHAnsi"/>
          <w:color w:val="000000" w:themeColor="text1"/>
          <w:lang w:val="ro-RO"/>
        </w:rPr>
        <w:t xml:space="preserve">, </w:t>
      </w:r>
      <w:r w:rsidR="006E6224" w:rsidRPr="00F30492">
        <w:rPr>
          <w:rFonts w:asciiTheme="minorHAnsi" w:hAnsiTheme="minorHAnsi" w:cstheme="minorHAnsi"/>
          <w:color w:val="000000" w:themeColor="text1"/>
          <w:lang w:val="ro-RO"/>
        </w:rPr>
        <w:t xml:space="preserve">fiind izolați sociali. </w:t>
      </w:r>
    </w:p>
    <w:p w14:paraId="4C9E15EB" w14:textId="6B79373C" w:rsidR="00FE36D2" w:rsidRPr="00F30492" w:rsidRDefault="00FE36D2" w:rsidP="00FE36D2">
      <w:pPr>
        <w:pStyle w:val="BodyText"/>
        <w:spacing w:before="201" w:line="360" w:lineRule="auto"/>
        <w:ind w:left="136" w:right="130"/>
        <w:jc w:val="both"/>
        <w:rPr>
          <w:rFonts w:asciiTheme="minorHAnsi" w:hAnsiTheme="minorHAnsi" w:cstheme="minorHAnsi"/>
          <w:color w:val="000000" w:themeColor="text1"/>
          <w:lang w:val="ro-RO"/>
        </w:rPr>
      </w:pPr>
      <w:r w:rsidRPr="00F30492">
        <w:rPr>
          <w:rFonts w:asciiTheme="minorHAnsi" w:hAnsiTheme="minorHAnsi" w:cstheme="minorHAnsi"/>
          <w:color w:val="000000" w:themeColor="text1"/>
          <w:lang w:val="ro-RO"/>
        </w:rPr>
        <w:t xml:space="preserve">Proiectul CD Skills urmărește îmbunătățirea calitătii vieții persoanelor cu boală celiacă, prin creșterea cunoștințelor și dezvoltarea de servicii noi. </w:t>
      </w:r>
      <w:r w:rsidR="006E6224" w:rsidRPr="00F30492">
        <w:rPr>
          <w:rFonts w:asciiTheme="minorHAnsi" w:hAnsiTheme="minorHAnsi" w:cstheme="minorHAnsi"/>
          <w:color w:val="000000" w:themeColor="text1"/>
          <w:lang w:val="ro-RO"/>
        </w:rPr>
        <w:t>În cadrul proiectu</w:t>
      </w:r>
      <w:r w:rsidR="00E00DE2" w:rsidRPr="00F30492">
        <w:rPr>
          <w:rFonts w:asciiTheme="minorHAnsi" w:hAnsiTheme="minorHAnsi" w:cstheme="minorHAnsi"/>
          <w:color w:val="000000" w:themeColor="text1"/>
          <w:lang w:val="ro-RO"/>
        </w:rPr>
        <w:t>l</w:t>
      </w:r>
      <w:r w:rsidR="006E6224" w:rsidRPr="00F30492">
        <w:rPr>
          <w:rFonts w:asciiTheme="minorHAnsi" w:hAnsiTheme="minorHAnsi" w:cstheme="minorHAnsi"/>
          <w:color w:val="000000" w:themeColor="text1"/>
          <w:lang w:val="ro-RO"/>
        </w:rPr>
        <w:t>ui, Institutul pentru Sănătatea Mamei și Copilului “Alessandrescu-Rusescu” București (INSMC) în cooperare cu ARIG și parteneri din Slovenia, Croația și Ser</w:t>
      </w:r>
      <w:r w:rsidR="00D2614E" w:rsidRPr="00F30492">
        <w:rPr>
          <w:rFonts w:asciiTheme="minorHAnsi" w:hAnsiTheme="minorHAnsi" w:cstheme="minorHAnsi"/>
          <w:color w:val="000000" w:themeColor="text1"/>
          <w:lang w:val="ro-RO"/>
        </w:rPr>
        <w:t>b</w:t>
      </w:r>
      <w:r w:rsidR="006E6224" w:rsidRPr="00F30492">
        <w:rPr>
          <w:rFonts w:asciiTheme="minorHAnsi" w:hAnsiTheme="minorHAnsi" w:cstheme="minorHAnsi"/>
          <w:color w:val="000000" w:themeColor="text1"/>
          <w:lang w:val="ro-RO"/>
        </w:rPr>
        <w:t>ia</w:t>
      </w:r>
      <w:r w:rsidR="00E00DE2" w:rsidRPr="00F30492">
        <w:rPr>
          <w:rFonts w:asciiTheme="minorHAnsi" w:hAnsiTheme="minorHAnsi" w:cstheme="minorHAnsi"/>
          <w:color w:val="000000" w:themeColor="text1"/>
          <w:lang w:val="ro-RO"/>
        </w:rPr>
        <w:t>,</w:t>
      </w:r>
      <w:r w:rsidR="006E6224" w:rsidRPr="00F30492">
        <w:rPr>
          <w:rFonts w:asciiTheme="minorHAnsi" w:hAnsiTheme="minorHAnsi" w:cstheme="minorHAnsi"/>
          <w:color w:val="000000" w:themeColor="text1"/>
          <w:lang w:val="ro-RO"/>
        </w:rPr>
        <w:t xml:space="preserve"> dezvoltă un nou model educațional integrat dedicat personalului din școli, grădinițe, spitale</w:t>
      </w:r>
      <w:r w:rsidR="00BB35B7" w:rsidRPr="00F30492">
        <w:rPr>
          <w:rFonts w:asciiTheme="minorHAnsi" w:hAnsiTheme="minorHAnsi" w:cstheme="minorHAnsi"/>
          <w:color w:val="000000" w:themeColor="text1"/>
          <w:lang w:val="ro-RO"/>
        </w:rPr>
        <w:t xml:space="preserve"> cu privire la boala celiacă și dieta fără gluten</w:t>
      </w:r>
      <w:r w:rsidR="006E6224" w:rsidRPr="00F30492">
        <w:rPr>
          <w:rFonts w:asciiTheme="minorHAnsi" w:hAnsiTheme="minorHAnsi" w:cstheme="minorHAnsi"/>
          <w:color w:val="000000" w:themeColor="text1"/>
          <w:lang w:val="ro-RO"/>
        </w:rPr>
        <w:t>.</w:t>
      </w:r>
      <w:r w:rsidRPr="00F30492">
        <w:rPr>
          <w:rFonts w:asciiTheme="minorHAnsi" w:hAnsiTheme="minorHAnsi" w:cstheme="minorHAnsi"/>
          <w:color w:val="000000" w:themeColor="text1"/>
          <w:lang w:val="ro-RO"/>
        </w:rPr>
        <w:t xml:space="preserve"> </w:t>
      </w:r>
    </w:p>
    <w:p w14:paraId="29D27D39" w14:textId="72ABBD3E" w:rsidR="00E00DE2" w:rsidRDefault="00E00DE2" w:rsidP="00F83BD8">
      <w:pPr>
        <w:pStyle w:val="BodyText"/>
        <w:spacing w:before="201" w:line="360" w:lineRule="auto"/>
        <w:ind w:left="136" w:right="130"/>
        <w:jc w:val="both"/>
        <w:rPr>
          <w:rFonts w:asciiTheme="minorHAnsi" w:hAnsiTheme="minorHAnsi" w:cstheme="minorHAnsi"/>
          <w:lang w:val="ro-RO"/>
        </w:rPr>
      </w:pPr>
    </w:p>
    <w:p w14:paraId="4187FAEB" w14:textId="71636C6C" w:rsidR="00E00DE2" w:rsidRDefault="00E00DE2" w:rsidP="00F83BD8">
      <w:pPr>
        <w:pStyle w:val="BodyText"/>
        <w:spacing w:before="201" w:line="360" w:lineRule="auto"/>
        <w:ind w:left="136" w:right="130"/>
        <w:jc w:val="both"/>
        <w:rPr>
          <w:rFonts w:asciiTheme="minorHAnsi" w:hAnsiTheme="minorHAnsi" w:cstheme="minorHAnsi"/>
          <w:b/>
          <w:lang w:val="ro-RO"/>
        </w:rPr>
      </w:pPr>
      <w:r w:rsidRPr="00E00DE2">
        <w:rPr>
          <w:rFonts w:asciiTheme="minorHAnsi" w:hAnsiTheme="minorHAnsi" w:cstheme="minorHAnsi"/>
          <w:b/>
          <w:lang w:val="ro-RO"/>
        </w:rPr>
        <w:t>Dieta fără gluten</w:t>
      </w:r>
    </w:p>
    <w:p w14:paraId="4FBDFE4F" w14:textId="6198939A" w:rsidR="007C7B39" w:rsidRDefault="007C7B39" w:rsidP="00F83BD8">
      <w:pPr>
        <w:pStyle w:val="BodyText"/>
        <w:spacing w:before="201" w:line="360" w:lineRule="auto"/>
        <w:ind w:left="136" w:right="130"/>
        <w:jc w:val="both"/>
        <w:rPr>
          <w:rFonts w:asciiTheme="minorHAnsi" w:hAnsiTheme="minorHAnsi" w:cstheme="minorHAnsi"/>
          <w:lang w:val="ro-RO"/>
        </w:rPr>
      </w:pPr>
      <w:r w:rsidRPr="007C7B39">
        <w:rPr>
          <w:rFonts w:asciiTheme="minorHAnsi" w:hAnsiTheme="minorHAnsi" w:cstheme="minorHAnsi"/>
          <w:b/>
          <w:lang w:val="ro-RO"/>
        </w:rPr>
        <w:t>Alimentele fără gluten</w:t>
      </w:r>
      <w:r>
        <w:rPr>
          <w:rFonts w:asciiTheme="minorHAnsi" w:hAnsiTheme="minorHAnsi" w:cstheme="minorHAnsi"/>
          <w:b/>
          <w:lang w:val="ro-RO"/>
        </w:rPr>
        <w:t xml:space="preserve"> </w:t>
      </w:r>
      <w:r>
        <w:rPr>
          <w:rFonts w:asciiTheme="minorHAnsi" w:hAnsiTheme="minorHAnsi" w:cstheme="minorHAnsi"/>
          <w:lang w:val="ro-RO"/>
        </w:rPr>
        <w:t>trebuie să conțină mai puțin de 20 mg de gluten per kg de produs, adică mai puțin de 20ppm, ceea ce înseamnă mai puțin de jumătate de boabă de grâu la un kilogram de orez. Așadar, respectarea unei diete fără gluten aduce provocări, glutenul regăsindu-se în grâu, orz, secară și alte cereale înrudite</w:t>
      </w:r>
      <w:bookmarkStart w:id="0" w:name="_GoBack"/>
      <w:bookmarkEnd w:id="0"/>
      <w:r>
        <w:rPr>
          <w:rFonts w:asciiTheme="minorHAnsi" w:hAnsiTheme="minorHAnsi" w:cstheme="minorHAnsi"/>
          <w:lang w:val="ro-RO"/>
        </w:rPr>
        <w:t>.</w:t>
      </w:r>
      <w:r>
        <w:rPr>
          <w:rFonts w:eastAsia="Times New Roman" w:cs="Calibri"/>
          <w:lang w:val="en-GB"/>
        </w:rPr>
        <w:t xml:space="preserve"> </w:t>
      </w:r>
      <w:r w:rsidRPr="007C7B39">
        <w:rPr>
          <w:rFonts w:asciiTheme="minorHAnsi" w:hAnsiTheme="minorHAnsi" w:cstheme="minorHAnsi"/>
          <w:lang w:val="ro-RO"/>
        </w:rPr>
        <w:t>Ovăzul fără gluten este tolerat de cei mai mulți dintre cei cu boală celiacă, dar nu de toți. Glutenul este deseori pre</w:t>
      </w:r>
      <w:r>
        <w:rPr>
          <w:rFonts w:asciiTheme="minorHAnsi" w:hAnsiTheme="minorHAnsi" w:cstheme="minorHAnsi"/>
          <w:lang w:val="ro-RO"/>
        </w:rPr>
        <w:t>z</w:t>
      </w:r>
      <w:r w:rsidRPr="007C7B39">
        <w:rPr>
          <w:rFonts w:asciiTheme="minorHAnsi" w:hAnsiTheme="minorHAnsi" w:cstheme="minorHAnsi"/>
          <w:lang w:val="ro-RO"/>
        </w:rPr>
        <w:t>ent în alimente</w:t>
      </w:r>
      <w:r>
        <w:rPr>
          <w:rFonts w:asciiTheme="minorHAnsi" w:hAnsiTheme="minorHAnsi" w:cstheme="minorHAnsi"/>
          <w:lang w:val="ro-RO"/>
        </w:rPr>
        <w:t>, prin contaminare sau în componența aditivilor.</w:t>
      </w:r>
    </w:p>
    <w:p w14:paraId="0E4356D6" w14:textId="28A2A326" w:rsidR="007C7B39" w:rsidRDefault="007C7B39" w:rsidP="00F83BD8">
      <w:pPr>
        <w:pStyle w:val="BodyText"/>
        <w:spacing w:before="201" w:line="360" w:lineRule="auto"/>
        <w:ind w:left="136" w:right="130"/>
        <w:jc w:val="both"/>
        <w:rPr>
          <w:rFonts w:asciiTheme="minorHAnsi" w:hAnsiTheme="minorHAnsi" w:cstheme="minorHAnsi"/>
          <w:lang w:val="ro-RO"/>
        </w:rPr>
      </w:pPr>
      <w:r w:rsidRPr="007C7B39">
        <w:rPr>
          <w:rFonts w:asciiTheme="minorHAnsi" w:hAnsiTheme="minorHAnsi" w:cstheme="minorHAnsi"/>
          <w:b/>
          <w:lang w:val="ro-RO"/>
        </w:rPr>
        <w:t>Nerespectarea dietei fără gluten</w:t>
      </w:r>
      <w:r>
        <w:rPr>
          <w:rFonts w:asciiTheme="minorHAnsi" w:hAnsiTheme="minorHAnsi" w:cstheme="minorHAnsi"/>
          <w:lang w:val="ro-RO"/>
        </w:rPr>
        <w:t xml:space="preserve"> sau </w:t>
      </w:r>
      <w:r>
        <w:rPr>
          <w:rFonts w:asciiTheme="minorHAnsi" w:hAnsiTheme="minorHAnsi" w:cstheme="minorHAnsi"/>
          <w:b/>
          <w:lang w:val="ro-RO"/>
        </w:rPr>
        <w:t>consumarea neintenționată de gluten,</w:t>
      </w:r>
      <w:r w:rsidRPr="007C7B39">
        <w:rPr>
          <w:rFonts w:asciiTheme="minorHAnsi" w:hAnsiTheme="minorHAnsi" w:cstheme="minorHAnsi"/>
          <w:lang w:val="ro-RO"/>
        </w:rPr>
        <w:t xml:space="preserve"> în mod repetat, </w:t>
      </w:r>
      <w:r>
        <w:rPr>
          <w:rFonts w:asciiTheme="minorHAnsi" w:hAnsiTheme="minorHAnsi" w:cstheme="minorHAnsi"/>
          <w:b/>
          <w:lang w:val="ro-RO"/>
        </w:rPr>
        <w:t xml:space="preserve"> </w:t>
      </w:r>
      <w:r>
        <w:rPr>
          <w:rFonts w:asciiTheme="minorHAnsi" w:hAnsiTheme="minorHAnsi" w:cstheme="minorHAnsi"/>
          <w:lang w:val="ro-RO"/>
        </w:rPr>
        <w:t xml:space="preserve">pot avea efecte </w:t>
      </w:r>
      <w:r w:rsidR="00627050">
        <w:rPr>
          <w:rFonts w:asciiTheme="minorHAnsi" w:hAnsiTheme="minorHAnsi" w:cstheme="minorHAnsi"/>
          <w:lang w:val="ro-RO"/>
        </w:rPr>
        <w:t>ireversibile asupra sănătății persoanelor cu boală celiacă: probleme cu digestia, dureri abdominale, stări de greață și vărsături, scădere în greutate, anemie, oboseală cronică, ulcerații bucale, dermatită herpetiformă, fracturi de oase, osteoporoză, niveluri anormale ale enzimelor din ficat, probleme de sănătate a reproducerii, probleme neurologice și psihologice, întârzieri în creștere și dezvoltare la copii. Deseori, boala celiacă netratată se asociază cu alte boli autoimune cum sunt tiroidita autoimună, diabet, boli neurologice sau, uneori, chiar și cancer. Nutriția inadecvată duce la  morbiditate și mortalitate crescută, nivel ridicat de absenteism și un efect negativ per ansamblul societății si al sistemului de sănătate.</w:t>
      </w:r>
    </w:p>
    <w:p w14:paraId="5DC4901E" w14:textId="52EBDC0B" w:rsidR="007C7B39" w:rsidRPr="006739AD" w:rsidRDefault="00627050" w:rsidP="001F1CE3">
      <w:pPr>
        <w:pStyle w:val="BodyText"/>
        <w:spacing w:before="201" w:line="360" w:lineRule="auto"/>
        <w:ind w:left="136" w:right="130"/>
        <w:jc w:val="both"/>
      </w:pPr>
      <w:r w:rsidRPr="00627050">
        <w:rPr>
          <w:rFonts w:asciiTheme="minorHAnsi" w:hAnsiTheme="minorHAnsi" w:cstheme="minorHAnsi"/>
          <w:b/>
          <w:lang w:val="ro-RO"/>
        </w:rPr>
        <w:t>Produsele fără gluten sunt scumpe.</w:t>
      </w:r>
      <w:r>
        <w:rPr>
          <w:rFonts w:asciiTheme="minorHAnsi" w:hAnsiTheme="minorHAnsi" w:cstheme="minorHAnsi"/>
          <w:lang w:val="ro-RO"/>
        </w:rPr>
        <w:t xml:space="preserve"> România este una din puținele țări</w:t>
      </w:r>
      <w:r w:rsidR="00321FBE">
        <w:rPr>
          <w:rFonts w:asciiTheme="minorHAnsi" w:hAnsiTheme="minorHAnsi" w:cstheme="minorHAnsi"/>
          <w:lang w:val="ro-RO"/>
        </w:rPr>
        <w:t xml:space="preserve"> europene</w:t>
      </w:r>
      <w:r>
        <w:rPr>
          <w:rFonts w:asciiTheme="minorHAnsi" w:hAnsiTheme="minorHAnsi" w:cstheme="minorHAnsi"/>
          <w:lang w:val="ro-RO"/>
        </w:rPr>
        <w:t xml:space="preserve"> în care adulții cu boală celiacă nu primesc suport finanaciar pentru respectarea unei diete adecvate. Pentru mulți </w:t>
      </w:r>
      <w:r>
        <w:rPr>
          <w:rFonts w:asciiTheme="minorHAnsi" w:hAnsiTheme="minorHAnsi" w:cstheme="minorHAnsi"/>
          <w:lang w:val="ro-RO"/>
        </w:rPr>
        <w:lastRenderedPageBreak/>
        <w:t>pacienț</w:t>
      </w:r>
      <w:r w:rsidR="00321FBE">
        <w:rPr>
          <w:rFonts w:asciiTheme="minorHAnsi" w:hAnsiTheme="minorHAnsi" w:cstheme="minorHAnsi"/>
          <w:lang w:val="ro-RO"/>
        </w:rPr>
        <w:t>i este dificil să-s</w:t>
      </w:r>
      <w:r>
        <w:rPr>
          <w:rFonts w:asciiTheme="minorHAnsi" w:hAnsiTheme="minorHAnsi" w:cstheme="minorHAnsi"/>
          <w:lang w:val="ro-RO"/>
        </w:rPr>
        <w:t>i permită produse fără gluten. Suport financiar pentru cumpărarea de produse fără gluten, alimente pe bază de rețetă sau un sistem special de taxare sunt soluții disponibile în alte țări</w:t>
      </w:r>
      <w:r w:rsidR="00321FBE">
        <w:rPr>
          <w:rFonts w:asciiTheme="minorHAnsi" w:hAnsiTheme="minorHAnsi" w:cstheme="minorHAnsi"/>
          <w:lang w:val="ro-RO"/>
        </w:rPr>
        <w:t xml:space="preserve">. Ele </w:t>
      </w:r>
      <w:r>
        <w:rPr>
          <w:rFonts w:asciiTheme="minorHAnsi" w:hAnsiTheme="minorHAnsi" w:cstheme="minorHAnsi"/>
          <w:lang w:val="ro-RO"/>
        </w:rPr>
        <w:t>reduc</w:t>
      </w:r>
      <w:r w:rsidR="001F1CE3">
        <w:rPr>
          <w:rFonts w:asciiTheme="minorHAnsi" w:hAnsiTheme="minorHAnsi" w:cstheme="minorHAnsi"/>
          <w:lang w:val="ro-RO"/>
        </w:rPr>
        <w:t xml:space="preserve"> povara dietei fără gluten, previn apariția complicații</w:t>
      </w:r>
      <w:r w:rsidR="00321FBE">
        <w:rPr>
          <w:rFonts w:asciiTheme="minorHAnsi" w:hAnsiTheme="minorHAnsi" w:cstheme="minorHAnsi"/>
          <w:lang w:val="ro-RO"/>
        </w:rPr>
        <w:t>lor</w:t>
      </w:r>
      <w:r w:rsidR="001F1CE3">
        <w:rPr>
          <w:rFonts w:asciiTheme="minorHAnsi" w:hAnsiTheme="minorHAnsi" w:cstheme="minorHAnsi"/>
          <w:lang w:val="ro-RO"/>
        </w:rPr>
        <w:t xml:space="preserve"> si se regăsesc </w:t>
      </w:r>
      <w:r w:rsidR="00321FBE">
        <w:rPr>
          <w:rFonts w:asciiTheme="minorHAnsi" w:hAnsiTheme="minorHAnsi" w:cstheme="minorHAnsi"/>
          <w:lang w:val="ro-RO"/>
        </w:rPr>
        <w:t>î</w:t>
      </w:r>
      <w:r w:rsidR="001F1CE3">
        <w:rPr>
          <w:rFonts w:asciiTheme="minorHAnsi" w:hAnsiTheme="minorHAnsi" w:cstheme="minorHAnsi"/>
          <w:lang w:val="ro-RO"/>
        </w:rPr>
        <w:t xml:space="preserve">n economii legate de tratamentul acestora. </w:t>
      </w:r>
    </w:p>
    <w:p w14:paraId="04898505" w14:textId="77777777" w:rsidR="00E00DE2" w:rsidRPr="00E00DE2" w:rsidRDefault="00E00DE2" w:rsidP="00F83BD8">
      <w:pPr>
        <w:pStyle w:val="BodyText"/>
        <w:spacing w:before="201" w:line="360" w:lineRule="auto"/>
        <w:ind w:left="136" w:right="130"/>
        <w:jc w:val="both"/>
        <w:rPr>
          <w:rFonts w:asciiTheme="minorHAnsi" w:hAnsiTheme="minorHAnsi" w:cstheme="minorHAnsi"/>
          <w:lang w:val="ro-RO"/>
        </w:rPr>
      </w:pPr>
    </w:p>
    <w:p w14:paraId="1E570995" w14:textId="05426A7C" w:rsidR="00E00DE2" w:rsidRPr="00E00DE2" w:rsidRDefault="00E00DE2" w:rsidP="00F83BD8">
      <w:pPr>
        <w:pStyle w:val="BodyText"/>
        <w:spacing w:before="201" w:line="360" w:lineRule="auto"/>
        <w:ind w:left="136" w:right="130"/>
        <w:jc w:val="both"/>
        <w:rPr>
          <w:rFonts w:asciiTheme="minorHAnsi" w:hAnsiTheme="minorHAnsi" w:cstheme="minorHAnsi"/>
          <w:b/>
          <w:lang w:val="ro-RO"/>
        </w:rPr>
      </w:pPr>
      <w:r w:rsidRPr="00E00DE2">
        <w:rPr>
          <w:rFonts w:asciiTheme="minorHAnsi" w:hAnsiTheme="minorHAnsi" w:cstheme="minorHAnsi"/>
          <w:b/>
          <w:lang w:val="ro-RO"/>
        </w:rPr>
        <w:t>Proiectul CD Skills</w:t>
      </w:r>
    </w:p>
    <w:p w14:paraId="33F47523" w14:textId="22659B22" w:rsidR="00140979" w:rsidRDefault="00F83BD8" w:rsidP="00F83BD8">
      <w:pPr>
        <w:pStyle w:val="BodyText"/>
        <w:spacing w:before="201" w:line="360" w:lineRule="auto"/>
        <w:ind w:left="136" w:right="130"/>
        <w:jc w:val="both"/>
        <w:rPr>
          <w:rFonts w:asciiTheme="minorHAnsi" w:hAnsiTheme="minorHAnsi" w:cstheme="minorHAnsi"/>
          <w:lang w:val="ro-RO"/>
        </w:rPr>
      </w:pPr>
      <w:r w:rsidRPr="005C554E">
        <w:rPr>
          <w:rFonts w:asciiTheme="minorHAnsi" w:hAnsiTheme="minorHAnsi" w:cstheme="minorHAnsi"/>
          <w:lang w:val="ro-RO"/>
        </w:rPr>
        <w:t>P</w:t>
      </w:r>
      <w:r w:rsidR="00C270B1" w:rsidRPr="005C554E">
        <w:rPr>
          <w:rFonts w:asciiTheme="minorHAnsi" w:hAnsiTheme="minorHAnsi" w:cstheme="minorHAnsi"/>
          <w:lang w:val="ro-RO"/>
        </w:rPr>
        <w:t xml:space="preserve">roiectul </w:t>
      </w:r>
      <w:r w:rsidR="00B84874" w:rsidRPr="005C554E">
        <w:rPr>
          <w:rFonts w:asciiTheme="minorHAnsi" w:hAnsiTheme="minorHAnsi" w:cstheme="minorHAnsi"/>
          <w:lang w:val="ro-RO"/>
        </w:rPr>
        <w:t xml:space="preserve">CD SKILLS </w:t>
      </w:r>
      <w:r w:rsidR="00C270B1" w:rsidRPr="005C554E">
        <w:rPr>
          <w:rFonts w:asciiTheme="minorHAnsi" w:hAnsiTheme="minorHAnsi" w:cstheme="minorHAnsi"/>
          <w:lang w:val="ro-RO"/>
        </w:rPr>
        <w:t xml:space="preserve">urmărește </w:t>
      </w:r>
      <w:r w:rsidR="00C270B1" w:rsidRPr="005C554E">
        <w:rPr>
          <w:rFonts w:asciiTheme="minorHAnsi" w:hAnsiTheme="minorHAnsi" w:cstheme="minorHAnsi"/>
          <w:b/>
          <w:lang w:val="ro-RO"/>
        </w:rPr>
        <w:t>creșterea diagnosticării timpurii a bolii celiace</w:t>
      </w:r>
      <w:r w:rsidRPr="005C554E">
        <w:rPr>
          <w:rFonts w:asciiTheme="minorHAnsi" w:hAnsiTheme="minorHAnsi" w:cstheme="minorHAnsi"/>
          <w:b/>
          <w:lang w:val="ro-RO"/>
        </w:rPr>
        <w:t xml:space="preserve">, îmbunătățirea serviciilor de sănătate publică, a serviciilor de alimentație publică </w:t>
      </w:r>
      <w:r w:rsidR="00C270B1" w:rsidRPr="005C554E">
        <w:rPr>
          <w:rFonts w:asciiTheme="minorHAnsi" w:hAnsiTheme="minorHAnsi" w:cstheme="minorHAnsi"/>
          <w:b/>
          <w:lang w:val="ro-RO"/>
        </w:rPr>
        <w:t xml:space="preserve">și </w:t>
      </w:r>
      <w:r w:rsidRPr="005C554E">
        <w:rPr>
          <w:rFonts w:asciiTheme="minorHAnsi" w:hAnsiTheme="minorHAnsi" w:cstheme="minorHAnsi"/>
          <w:b/>
          <w:lang w:val="ro-RO"/>
        </w:rPr>
        <w:t xml:space="preserve">crearea unui mediu care să sprijine </w:t>
      </w:r>
      <w:r w:rsidR="00E34D39" w:rsidRPr="005C554E">
        <w:rPr>
          <w:rFonts w:asciiTheme="minorHAnsi" w:hAnsiTheme="minorHAnsi" w:cstheme="minorHAnsi"/>
          <w:b/>
          <w:lang w:val="ro-RO"/>
        </w:rPr>
        <w:t>î</w:t>
      </w:r>
      <w:r w:rsidR="00C270B1" w:rsidRPr="005C554E">
        <w:rPr>
          <w:rFonts w:asciiTheme="minorHAnsi" w:hAnsiTheme="minorHAnsi" w:cstheme="minorHAnsi"/>
          <w:b/>
          <w:lang w:val="ro-RO"/>
        </w:rPr>
        <w:t>mbunăt</w:t>
      </w:r>
      <w:r w:rsidR="00140979" w:rsidRPr="005C554E">
        <w:rPr>
          <w:rFonts w:asciiTheme="minorHAnsi" w:hAnsiTheme="minorHAnsi" w:cstheme="minorHAnsi"/>
          <w:b/>
          <w:lang w:val="ro-RO"/>
        </w:rPr>
        <w:t>ă</w:t>
      </w:r>
      <w:r w:rsidR="00C270B1" w:rsidRPr="005C554E">
        <w:rPr>
          <w:rFonts w:asciiTheme="minorHAnsi" w:hAnsiTheme="minorHAnsi" w:cstheme="minorHAnsi"/>
          <w:b/>
          <w:lang w:val="ro-RO"/>
        </w:rPr>
        <w:t xml:space="preserve">țirea calității vieții </w:t>
      </w:r>
      <w:r w:rsidR="00FC693D" w:rsidRPr="005C554E">
        <w:rPr>
          <w:rFonts w:asciiTheme="minorHAnsi" w:hAnsiTheme="minorHAnsi" w:cstheme="minorHAnsi"/>
          <w:b/>
          <w:lang w:val="ro-RO"/>
        </w:rPr>
        <w:t>persoanelor</w:t>
      </w:r>
      <w:r w:rsidR="00C270B1" w:rsidRPr="005C554E">
        <w:rPr>
          <w:rFonts w:asciiTheme="minorHAnsi" w:hAnsiTheme="minorHAnsi" w:cstheme="minorHAnsi"/>
          <w:b/>
          <w:lang w:val="ro-RO"/>
        </w:rPr>
        <w:t xml:space="preserve"> cu boală celiacă</w:t>
      </w:r>
      <w:r w:rsidR="00C270B1" w:rsidRPr="005C554E">
        <w:rPr>
          <w:rFonts w:asciiTheme="minorHAnsi" w:hAnsiTheme="minorHAnsi" w:cstheme="minorHAnsi"/>
          <w:lang w:val="ro-RO"/>
        </w:rPr>
        <w:t>.</w:t>
      </w:r>
      <w:r w:rsidRPr="005C554E">
        <w:rPr>
          <w:rFonts w:asciiTheme="minorHAnsi" w:hAnsiTheme="minorHAnsi" w:cstheme="minorHAnsi"/>
          <w:lang w:val="ro-RO"/>
        </w:rPr>
        <w:t xml:space="preserve"> </w:t>
      </w:r>
    </w:p>
    <w:p w14:paraId="2EFD265E" w14:textId="2DD7EAB0" w:rsidR="002E2B71" w:rsidRDefault="002E2B71" w:rsidP="00F83BD8">
      <w:pPr>
        <w:pStyle w:val="BodyText"/>
        <w:spacing w:before="201" w:line="360" w:lineRule="auto"/>
        <w:ind w:left="136" w:right="130"/>
        <w:jc w:val="both"/>
        <w:rPr>
          <w:rFonts w:asciiTheme="minorHAnsi" w:hAnsiTheme="minorHAnsi" w:cstheme="minorHAnsi"/>
          <w:lang w:val="ro-RO"/>
        </w:rPr>
      </w:pPr>
      <w:r>
        <w:rPr>
          <w:rFonts w:asciiTheme="minorHAnsi" w:hAnsiTheme="minorHAnsi" w:cstheme="minorHAnsi"/>
          <w:lang w:val="ro-RO"/>
        </w:rPr>
        <w:t xml:space="preserve">Unul din programele care urmează să fie dezvoltat, testat și implementat este un sistem educațional despre dieta fără gluten. In cadrul acestuia, vor fi disponibile materiale informative despre pregătirea și organizarea unei bucătării pentru dieta fără gluten, broșuri educative pentru alimentația publică, pentru pacienți, pentru personalul medical.   </w:t>
      </w:r>
    </w:p>
    <w:p w14:paraId="6FA65A61" w14:textId="5A46C2B5" w:rsidR="002E2B71" w:rsidRPr="002E2B71" w:rsidRDefault="009B7B60" w:rsidP="002E2B71">
      <w:pPr>
        <w:pStyle w:val="BodyText"/>
        <w:spacing w:before="201" w:line="360" w:lineRule="auto"/>
        <w:ind w:left="136" w:right="130"/>
        <w:jc w:val="both"/>
        <w:rPr>
          <w:rFonts w:asciiTheme="minorHAnsi" w:hAnsiTheme="minorHAnsi" w:cstheme="minorHAnsi"/>
          <w:lang w:val="ro-RO"/>
        </w:rPr>
      </w:pPr>
      <w:r>
        <w:rPr>
          <w:rFonts w:asciiTheme="minorHAnsi" w:hAnsiTheme="minorHAnsi" w:cstheme="minorHAnsi"/>
          <w:lang w:val="ro-RO"/>
        </w:rPr>
        <w:t>Î</w:t>
      </w:r>
      <w:r w:rsidR="002E2B71">
        <w:rPr>
          <w:rFonts w:asciiTheme="minorHAnsi" w:hAnsiTheme="minorHAnsi" w:cstheme="minorHAnsi"/>
          <w:lang w:val="ro-RO"/>
        </w:rPr>
        <w:t xml:space="preserve">n cadrul programului, urmărim prezentarea cerințelor legate de dieta fără </w:t>
      </w:r>
      <w:r w:rsidR="002E2B71" w:rsidRPr="002E2B71">
        <w:rPr>
          <w:rFonts w:asciiTheme="minorHAnsi" w:hAnsiTheme="minorHAnsi" w:cstheme="minorHAnsi"/>
          <w:lang w:val="ro-RO"/>
        </w:rPr>
        <w:t>gluten, care presupune reguli stricte</w:t>
      </w:r>
      <w:r w:rsidR="00053CF4">
        <w:rPr>
          <w:rFonts w:asciiTheme="minorHAnsi" w:hAnsiTheme="minorHAnsi" w:cstheme="minorHAnsi"/>
          <w:lang w:val="ro-RO"/>
        </w:rPr>
        <w:t>,</w:t>
      </w:r>
      <w:r w:rsidR="002E2B71" w:rsidRPr="002E2B71">
        <w:rPr>
          <w:rFonts w:asciiTheme="minorHAnsi" w:hAnsiTheme="minorHAnsi" w:cstheme="minorHAnsi"/>
          <w:lang w:val="ro-RO"/>
        </w:rPr>
        <w:t xml:space="preserve"> dar simple de organizare cum sunt:</w:t>
      </w:r>
    </w:p>
    <w:p w14:paraId="4ABD2D54" w14:textId="0665DB0B" w:rsidR="002E2B71" w:rsidRDefault="002E2B71" w:rsidP="00053CF4">
      <w:pPr>
        <w:pStyle w:val="BodyText"/>
        <w:spacing w:before="120" w:line="360" w:lineRule="auto"/>
        <w:ind w:left="136" w:right="130"/>
        <w:jc w:val="both"/>
        <w:rPr>
          <w:rFonts w:asciiTheme="minorHAnsi" w:hAnsiTheme="minorHAnsi" w:cstheme="minorHAnsi"/>
          <w:lang w:val="ro-RO"/>
        </w:rPr>
      </w:pPr>
      <w:r>
        <w:rPr>
          <w:rFonts w:asciiTheme="minorHAnsi" w:hAnsiTheme="minorHAnsi" w:cstheme="minorHAnsi"/>
          <w:lang w:val="ro-RO"/>
        </w:rPr>
        <w:t>- citirea și verificarea etichetelor produselor și ingredientelor privind conținutul de gluten,</w:t>
      </w:r>
    </w:p>
    <w:p w14:paraId="5BE63B37" w14:textId="3BC07F93" w:rsidR="002E2B71" w:rsidRPr="002E2B71" w:rsidRDefault="002E2B71" w:rsidP="00053CF4">
      <w:pPr>
        <w:pStyle w:val="BodyText"/>
        <w:spacing w:before="120" w:line="360" w:lineRule="auto"/>
        <w:ind w:left="136" w:right="130"/>
        <w:jc w:val="both"/>
        <w:rPr>
          <w:rFonts w:asciiTheme="minorHAnsi" w:hAnsiTheme="minorHAnsi" w:cstheme="minorHAnsi"/>
          <w:lang w:val="ro-RO"/>
        </w:rPr>
      </w:pPr>
      <w:r w:rsidRPr="002E2B71">
        <w:rPr>
          <w:rFonts w:asciiTheme="minorHAnsi" w:hAnsiTheme="minorHAnsi" w:cstheme="minorHAnsi"/>
          <w:lang w:val="ro-RO"/>
        </w:rPr>
        <w:t>- folosirea pentru prepararea alimentelor a f</w:t>
      </w:r>
      <w:r>
        <w:rPr>
          <w:rFonts w:asciiTheme="minorHAnsi" w:hAnsiTheme="minorHAnsi" w:cstheme="minorHAnsi"/>
          <w:lang w:val="ro-RO"/>
        </w:rPr>
        <w:t>ă</w:t>
      </w:r>
      <w:r w:rsidRPr="002E2B71">
        <w:rPr>
          <w:rFonts w:asciiTheme="minorHAnsi" w:hAnsiTheme="minorHAnsi" w:cstheme="minorHAnsi"/>
          <w:lang w:val="ro-RO"/>
        </w:rPr>
        <w:t>inurilor speciale care nu con</w:t>
      </w:r>
      <w:r>
        <w:rPr>
          <w:rFonts w:asciiTheme="minorHAnsi" w:hAnsiTheme="minorHAnsi" w:cstheme="minorHAnsi"/>
          <w:lang w:val="ro-RO"/>
        </w:rPr>
        <w:t>ț</w:t>
      </w:r>
      <w:r w:rsidRPr="002E2B71">
        <w:rPr>
          <w:rFonts w:asciiTheme="minorHAnsi" w:hAnsiTheme="minorHAnsi" w:cstheme="minorHAnsi"/>
          <w:lang w:val="ro-RO"/>
        </w:rPr>
        <w:t>in gluten;</w:t>
      </w:r>
    </w:p>
    <w:p w14:paraId="2A7A901D" w14:textId="35947886" w:rsidR="002E2B71" w:rsidRDefault="002E2B71" w:rsidP="00053CF4">
      <w:pPr>
        <w:pStyle w:val="BodyText"/>
        <w:spacing w:before="120" w:line="360" w:lineRule="auto"/>
        <w:ind w:left="136" w:right="130"/>
        <w:jc w:val="both"/>
        <w:rPr>
          <w:rFonts w:asciiTheme="minorHAnsi" w:hAnsiTheme="minorHAnsi" w:cstheme="minorHAnsi"/>
          <w:lang w:val="ro-RO"/>
        </w:rPr>
      </w:pPr>
      <w:r w:rsidRPr="002E2B71">
        <w:rPr>
          <w:rFonts w:asciiTheme="minorHAnsi" w:hAnsiTheme="minorHAnsi" w:cstheme="minorHAnsi"/>
          <w:lang w:val="ro-RO"/>
        </w:rPr>
        <w:t>- de</w:t>
      </w:r>
      <w:r>
        <w:rPr>
          <w:rFonts w:asciiTheme="minorHAnsi" w:hAnsiTheme="minorHAnsi" w:cstheme="minorHAnsi"/>
          <w:lang w:val="ro-RO"/>
        </w:rPr>
        <w:t>pozitarea produselor cu gluten ș</w:t>
      </w:r>
      <w:r w:rsidRPr="002E2B71">
        <w:rPr>
          <w:rFonts w:asciiTheme="minorHAnsi" w:hAnsiTheme="minorHAnsi" w:cstheme="minorHAnsi"/>
          <w:lang w:val="ro-RO"/>
        </w:rPr>
        <w:t>i a celor f</w:t>
      </w:r>
      <w:r>
        <w:rPr>
          <w:rFonts w:asciiTheme="minorHAnsi" w:hAnsiTheme="minorHAnsi" w:cstheme="minorHAnsi"/>
          <w:lang w:val="ro-RO"/>
        </w:rPr>
        <w:t>ă</w:t>
      </w:r>
      <w:r w:rsidRPr="002E2B71">
        <w:rPr>
          <w:rFonts w:asciiTheme="minorHAnsi" w:hAnsiTheme="minorHAnsi" w:cstheme="minorHAnsi"/>
          <w:lang w:val="ro-RO"/>
        </w:rPr>
        <w:t>r</w:t>
      </w:r>
      <w:r>
        <w:rPr>
          <w:rFonts w:asciiTheme="minorHAnsi" w:hAnsiTheme="minorHAnsi" w:cstheme="minorHAnsi"/>
          <w:lang w:val="ro-RO"/>
        </w:rPr>
        <w:t>ă</w:t>
      </w:r>
      <w:r w:rsidRPr="002E2B71">
        <w:rPr>
          <w:rFonts w:asciiTheme="minorHAnsi" w:hAnsiTheme="minorHAnsi" w:cstheme="minorHAnsi"/>
          <w:lang w:val="ro-RO"/>
        </w:rPr>
        <w:t xml:space="preserve"> gluten </w:t>
      </w:r>
      <w:r>
        <w:rPr>
          <w:rFonts w:asciiTheme="minorHAnsi" w:hAnsiTheme="minorHAnsi" w:cstheme="minorHAnsi"/>
          <w:lang w:val="ro-RO"/>
        </w:rPr>
        <w:t>î</w:t>
      </w:r>
      <w:r w:rsidRPr="002E2B71">
        <w:rPr>
          <w:rFonts w:asciiTheme="minorHAnsi" w:hAnsiTheme="minorHAnsi" w:cstheme="minorHAnsi"/>
          <w:lang w:val="ro-RO"/>
        </w:rPr>
        <w:t>n locuri diferite, pentru a nu fi confundate;</w:t>
      </w:r>
    </w:p>
    <w:p w14:paraId="1BE08792" w14:textId="024E1B15" w:rsidR="002E2B71" w:rsidRPr="002E2B71" w:rsidRDefault="002E2B71" w:rsidP="00053CF4">
      <w:pPr>
        <w:pStyle w:val="BodyText"/>
        <w:spacing w:before="120" w:line="360" w:lineRule="auto"/>
        <w:ind w:left="136" w:right="130"/>
        <w:jc w:val="both"/>
        <w:rPr>
          <w:rFonts w:asciiTheme="minorHAnsi" w:hAnsiTheme="minorHAnsi" w:cstheme="minorHAnsi"/>
          <w:lang w:val="ro-RO"/>
        </w:rPr>
      </w:pPr>
      <w:r>
        <w:rPr>
          <w:rFonts w:asciiTheme="minorHAnsi" w:hAnsiTheme="minorHAnsi" w:cstheme="minorHAnsi"/>
          <w:lang w:val="ro-RO"/>
        </w:rPr>
        <w:t>- respectarea unor reguli de pregătire a alimentelor pentru evitarea contaminării;</w:t>
      </w:r>
    </w:p>
    <w:p w14:paraId="3AF767ED" w14:textId="77A0E06D" w:rsidR="002E2B71" w:rsidRPr="002E2B71" w:rsidRDefault="002E2B71" w:rsidP="00053CF4">
      <w:pPr>
        <w:pStyle w:val="BodyText"/>
        <w:spacing w:before="120" w:line="360" w:lineRule="auto"/>
        <w:ind w:left="136" w:right="130"/>
        <w:jc w:val="both"/>
        <w:rPr>
          <w:rFonts w:asciiTheme="minorHAnsi" w:hAnsiTheme="minorHAnsi" w:cstheme="minorHAnsi"/>
          <w:lang w:val="ro-RO"/>
        </w:rPr>
      </w:pPr>
      <w:r>
        <w:rPr>
          <w:rFonts w:asciiTheme="minorHAnsi" w:hAnsiTheme="minorHAnsi" w:cstheme="minorHAnsi"/>
          <w:lang w:val="ro-RO"/>
        </w:rPr>
        <w:t>- spă</w:t>
      </w:r>
      <w:r w:rsidRPr="002E2B71">
        <w:rPr>
          <w:rFonts w:asciiTheme="minorHAnsi" w:hAnsiTheme="minorHAnsi" w:cstheme="minorHAnsi"/>
          <w:lang w:val="ro-RO"/>
        </w:rPr>
        <w:t>larea viguroas</w:t>
      </w:r>
      <w:r>
        <w:rPr>
          <w:rFonts w:asciiTheme="minorHAnsi" w:hAnsiTheme="minorHAnsi" w:cstheme="minorHAnsi"/>
          <w:lang w:val="ro-RO"/>
        </w:rPr>
        <w:t>ă</w:t>
      </w:r>
      <w:r w:rsidRPr="002E2B71">
        <w:rPr>
          <w:rFonts w:asciiTheme="minorHAnsi" w:hAnsiTheme="minorHAnsi" w:cstheme="minorHAnsi"/>
          <w:lang w:val="ro-RO"/>
        </w:rPr>
        <w:t xml:space="preserve"> a </w:t>
      </w:r>
      <w:r w:rsidR="00053CF4">
        <w:rPr>
          <w:rFonts w:asciiTheme="minorHAnsi" w:hAnsiTheme="minorHAnsi" w:cstheme="minorHAnsi"/>
          <w:lang w:val="ro-RO"/>
        </w:rPr>
        <w:t xml:space="preserve">suprafețelor și </w:t>
      </w:r>
      <w:r w:rsidRPr="002E2B71">
        <w:rPr>
          <w:rFonts w:asciiTheme="minorHAnsi" w:hAnsiTheme="minorHAnsi" w:cstheme="minorHAnsi"/>
          <w:lang w:val="ro-RO"/>
        </w:rPr>
        <w:t xml:space="preserve">vaselor, ideal </w:t>
      </w:r>
      <w:r>
        <w:rPr>
          <w:rFonts w:asciiTheme="minorHAnsi" w:hAnsiTheme="minorHAnsi" w:cstheme="minorHAnsi"/>
          <w:lang w:val="ro-RO"/>
        </w:rPr>
        <w:t>î</w:t>
      </w:r>
      <w:r w:rsidRPr="002E2B71">
        <w:rPr>
          <w:rFonts w:asciiTheme="minorHAnsi" w:hAnsiTheme="minorHAnsi" w:cstheme="minorHAnsi"/>
          <w:lang w:val="ro-RO"/>
        </w:rPr>
        <w:t>n ma</w:t>
      </w:r>
      <w:r>
        <w:rPr>
          <w:rFonts w:asciiTheme="minorHAnsi" w:hAnsiTheme="minorHAnsi" w:cstheme="minorHAnsi"/>
          <w:lang w:val="ro-RO"/>
        </w:rPr>
        <w:t>ș</w:t>
      </w:r>
      <w:r w:rsidRPr="002E2B71">
        <w:rPr>
          <w:rFonts w:asciiTheme="minorHAnsi" w:hAnsiTheme="minorHAnsi" w:cstheme="minorHAnsi"/>
          <w:lang w:val="ro-RO"/>
        </w:rPr>
        <w:t>ini de sp</w:t>
      </w:r>
      <w:r>
        <w:rPr>
          <w:rFonts w:asciiTheme="minorHAnsi" w:hAnsiTheme="minorHAnsi" w:cstheme="minorHAnsi"/>
          <w:lang w:val="ro-RO"/>
        </w:rPr>
        <w:t>ă</w:t>
      </w:r>
      <w:r w:rsidRPr="002E2B71">
        <w:rPr>
          <w:rFonts w:asciiTheme="minorHAnsi" w:hAnsiTheme="minorHAnsi" w:cstheme="minorHAnsi"/>
          <w:lang w:val="ro-RO"/>
        </w:rPr>
        <w:t>lare automate care asigur</w:t>
      </w:r>
      <w:r>
        <w:rPr>
          <w:rFonts w:asciiTheme="minorHAnsi" w:hAnsiTheme="minorHAnsi" w:cstheme="minorHAnsi"/>
          <w:lang w:val="ro-RO"/>
        </w:rPr>
        <w:t>ă</w:t>
      </w:r>
      <w:r w:rsidRPr="002E2B71">
        <w:rPr>
          <w:rFonts w:asciiTheme="minorHAnsi" w:hAnsiTheme="minorHAnsi" w:cstheme="minorHAnsi"/>
          <w:lang w:val="ro-RO"/>
        </w:rPr>
        <w:t xml:space="preserve"> o bun</w:t>
      </w:r>
      <w:r>
        <w:rPr>
          <w:rFonts w:asciiTheme="minorHAnsi" w:hAnsiTheme="minorHAnsi" w:cstheme="minorHAnsi"/>
          <w:lang w:val="ro-RO"/>
        </w:rPr>
        <w:t>ă</w:t>
      </w:r>
      <w:r w:rsidRPr="002E2B71">
        <w:rPr>
          <w:rFonts w:asciiTheme="minorHAnsi" w:hAnsiTheme="minorHAnsi" w:cstheme="minorHAnsi"/>
          <w:lang w:val="ro-RO"/>
        </w:rPr>
        <w:t xml:space="preserve"> cur</w:t>
      </w:r>
      <w:r>
        <w:rPr>
          <w:rFonts w:asciiTheme="minorHAnsi" w:hAnsiTheme="minorHAnsi" w:cstheme="minorHAnsi"/>
          <w:lang w:val="ro-RO"/>
        </w:rPr>
        <w:t>ăț</w:t>
      </w:r>
      <w:r w:rsidRPr="002E2B71">
        <w:rPr>
          <w:rFonts w:asciiTheme="minorHAnsi" w:hAnsiTheme="minorHAnsi" w:cstheme="minorHAnsi"/>
          <w:lang w:val="ro-RO"/>
        </w:rPr>
        <w:t>ire a urmelor de alimente, pentru a evita contaminarea;</w:t>
      </w:r>
    </w:p>
    <w:p w14:paraId="43985767" w14:textId="26380133" w:rsidR="002E2B71" w:rsidRDefault="002E2B71" w:rsidP="00053CF4">
      <w:pPr>
        <w:pStyle w:val="BodyText"/>
        <w:spacing w:before="120" w:line="360" w:lineRule="auto"/>
        <w:ind w:left="136" w:right="130"/>
        <w:jc w:val="both"/>
        <w:rPr>
          <w:rFonts w:asciiTheme="minorHAnsi" w:hAnsiTheme="minorHAnsi" w:cstheme="minorHAnsi"/>
          <w:lang w:val="ro-RO"/>
        </w:rPr>
      </w:pPr>
      <w:r w:rsidRPr="002E2B71">
        <w:rPr>
          <w:rFonts w:asciiTheme="minorHAnsi" w:hAnsiTheme="minorHAnsi" w:cstheme="minorHAnsi"/>
          <w:lang w:val="ro-RO"/>
        </w:rPr>
        <w:t>- folosirea anumitor ustensile separate, de exemplu pr</w:t>
      </w:r>
      <w:r>
        <w:rPr>
          <w:rFonts w:asciiTheme="minorHAnsi" w:hAnsiTheme="minorHAnsi" w:cstheme="minorHAnsi"/>
          <w:lang w:val="ro-RO"/>
        </w:rPr>
        <w:t>ă</w:t>
      </w:r>
      <w:r w:rsidRPr="002E2B71">
        <w:rPr>
          <w:rFonts w:asciiTheme="minorHAnsi" w:hAnsiTheme="minorHAnsi" w:cstheme="minorHAnsi"/>
          <w:lang w:val="ro-RO"/>
        </w:rPr>
        <w:t>jitor de p</w:t>
      </w:r>
      <w:r>
        <w:rPr>
          <w:rFonts w:asciiTheme="minorHAnsi" w:hAnsiTheme="minorHAnsi" w:cstheme="minorHAnsi"/>
          <w:lang w:val="ro-RO"/>
        </w:rPr>
        <w:t>â</w:t>
      </w:r>
      <w:r w:rsidRPr="002E2B71">
        <w:rPr>
          <w:rFonts w:asciiTheme="minorHAnsi" w:hAnsiTheme="minorHAnsi" w:cstheme="minorHAnsi"/>
          <w:lang w:val="ro-RO"/>
        </w:rPr>
        <w:t>ine separat pentru p</w:t>
      </w:r>
      <w:r>
        <w:rPr>
          <w:rFonts w:asciiTheme="minorHAnsi" w:hAnsiTheme="minorHAnsi" w:cstheme="minorHAnsi"/>
          <w:lang w:val="ro-RO"/>
        </w:rPr>
        <w:t>â</w:t>
      </w:r>
      <w:r w:rsidRPr="002E2B71">
        <w:rPr>
          <w:rFonts w:asciiTheme="minorHAnsi" w:hAnsiTheme="minorHAnsi" w:cstheme="minorHAnsi"/>
          <w:lang w:val="ro-RO"/>
        </w:rPr>
        <w:t>inea f</w:t>
      </w:r>
      <w:r>
        <w:rPr>
          <w:rFonts w:asciiTheme="minorHAnsi" w:hAnsiTheme="minorHAnsi" w:cstheme="minorHAnsi"/>
          <w:lang w:val="ro-RO"/>
        </w:rPr>
        <w:t>ă</w:t>
      </w:r>
      <w:r w:rsidRPr="002E2B71">
        <w:rPr>
          <w:rFonts w:asciiTheme="minorHAnsi" w:hAnsiTheme="minorHAnsi" w:cstheme="minorHAnsi"/>
          <w:lang w:val="ro-RO"/>
        </w:rPr>
        <w:t>r</w:t>
      </w:r>
      <w:r>
        <w:rPr>
          <w:rFonts w:asciiTheme="minorHAnsi" w:hAnsiTheme="minorHAnsi" w:cstheme="minorHAnsi"/>
          <w:lang w:val="ro-RO"/>
        </w:rPr>
        <w:t>ă</w:t>
      </w:r>
      <w:r w:rsidRPr="002E2B71">
        <w:rPr>
          <w:rFonts w:asciiTheme="minorHAnsi" w:hAnsiTheme="minorHAnsi" w:cstheme="minorHAnsi"/>
          <w:lang w:val="ro-RO"/>
        </w:rPr>
        <w:t xml:space="preserve"> gluten.</w:t>
      </w:r>
    </w:p>
    <w:p w14:paraId="083EA662" w14:textId="65B55B7E" w:rsidR="002E2B71" w:rsidRPr="005C554E" w:rsidRDefault="00053CF4" w:rsidP="00053CF4">
      <w:pPr>
        <w:pStyle w:val="BodyText"/>
        <w:spacing w:before="120" w:line="360" w:lineRule="auto"/>
        <w:ind w:left="136" w:right="130"/>
        <w:jc w:val="both"/>
        <w:rPr>
          <w:rFonts w:asciiTheme="minorHAnsi" w:hAnsiTheme="minorHAnsi" w:cstheme="minorHAnsi"/>
          <w:lang w:val="ro-RO"/>
        </w:rPr>
      </w:pPr>
      <w:r>
        <w:rPr>
          <w:rFonts w:asciiTheme="minorHAnsi" w:hAnsiTheme="minorHAnsi" w:cstheme="minorHAnsi"/>
          <w:lang w:val="ro-RO"/>
        </w:rPr>
        <w:t>Scopul programului este informarea despre regulile preparării alimentelor fără gluten, astfel încât persoanel</w:t>
      </w:r>
      <w:r w:rsidR="009B7B60">
        <w:rPr>
          <w:rFonts w:asciiTheme="minorHAnsi" w:hAnsiTheme="minorHAnsi" w:cstheme="minorHAnsi"/>
          <w:lang w:val="ro-RO"/>
        </w:rPr>
        <w:t>e</w:t>
      </w:r>
      <w:r>
        <w:rPr>
          <w:rFonts w:asciiTheme="minorHAnsi" w:hAnsiTheme="minorHAnsi" w:cstheme="minorHAnsi"/>
          <w:lang w:val="ro-RO"/>
        </w:rPr>
        <w:t xml:space="preserve"> cu boală celiacă să aibă acces la alimente fără gluten sigure și în afara casei.</w:t>
      </w:r>
    </w:p>
    <w:p w14:paraId="5037AC68" w14:textId="1CE7902E" w:rsidR="00B84874" w:rsidRPr="005C554E" w:rsidRDefault="00187403" w:rsidP="00B84874">
      <w:pPr>
        <w:pStyle w:val="BodyText"/>
        <w:spacing w:before="201" w:line="360" w:lineRule="auto"/>
        <w:ind w:left="136" w:right="130"/>
        <w:jc w:val="both"/>
        <w:rPr>
          <w:rFonts w:asciiTheme="minorHAnsi" w:hAnsiTheme="minorHAnsi" w:cstheme="minorHAnsi"/>
          <w:lang w:val="ro-RO"/>
        </w:rPr>
      </w:pPr>
      <w:r w:rsidRPr="005C554E">
        <w:rPr>
          <w:rFonts w:asciiTheme="minorHAnsi" w:hAnsiTheme="minorHAnsi" w:cstheme="minorHAnsi"/>
          <w:b/>
          <w:bCs/>
          <w:lang w:val="ro-RO"/>
        </w:rPr>
        <w:t>Proiectul CD SKILLS este co-finanța</w:t>
      </w:r>
      <w:r w:rsidR="00B84874" w:rsidRPr="005C554E">
        <w:rPr>
          <w:rFonts w:asciiTheme="minorHAnsi" w:hAnsiTheme="minorHAnsi" w:cstheme="minorHAnsi"/>
          <w:b/>
          <w:bCs/>
          <w:lang w:val="ro-RO"/>
        </w:rPr>
        <w:t>t</w:t>
      </w:r>
      <w:r w:rsidRPr="005C554E">
        <w:rPr>
          <w:rFonts w:asciiTheme="minorHAnsi" w:hAnsiTheme="minorHAnsi" w:cstheme="minorHAnsi"/>
          <w:b/>
          <w:bCs/>
          <w:lang w:val="ro-RO"/>
        </w:rPr>
        <w:t xml:space="preserve"> prin fonduri europene (ERDF, IPA, ENI)</w:t>
      </w:r>
      <w:r w:rsidRPr="005C554E">
        <w:rPr>
          <w:rFonts w:asciiTheme="minorHAnsi" w:hAnsiTheme="minorHAnsi" w:cstheme="minorHAnsi"/>
          <w:bCs/>
          <w:lang w:val="ro-RO"/>
        </w:rPr>
        <w:t xml:space="preserve"> în cadrul programului transnational Dunărea (85% din valoarea proiectului). Valorea totală a proiectului este de aproximativ 1.7 milioane de eur,</w:t>
      </w:r>
      <w:r w:rsidRPr="005C554E">
        <w:rPr>
          <w:rFonts w:asciiTheme="minorHAnsi" w:hAnsiTheme="minorHAnsi" w:cstheme="minorHAnsi"/>
          <w:b/>
          <w:bCs/>
          <w:lang w:val="ro-RO"/>
        </w:rPr>
        <w:t xml:space="preserve"> </w:t>
      </w:r>
      <w:r w:rsidRPr="005C554E">
        <w:rPr>
          <w:rFonts w:asciiTheme="minorHAnsi" w:hAnsiTheme="minorHAnsi" w:cstheme="minorHAnsi"/>
          <w:bCs/>
          <w:lang w:val="ro-RO"/>
        </w:rPr>
        <w:t>din care bugetul INSMC este de 169.5</w:t>
      </w:r>
      <w:r w:rsidR="00E34D39" w:rsidRPr="005C554E">
        <w:rPr>
          <w:rFonts w:asciiTheme="minorHAnsi" w:hAnsiTheme="minorHAnsi" w:cstheme="minorHAnsi"/>
          <w:bCs/>
          <w:lang w:val="ro-RO"/>
        </w:rPr>
        <w:t>6</w:t>
      </w:r>
      <w:r w:rsidRPr="005C554E">
        <w:rPr>
          <w:rFonts w:asciiTheme="minorHAnsi" w:hAnsiTheme="minorHAnsi" w:cstheme="minorHAnsi"/>
          <w:bCs/>
          <w:lang w:val="ro-RO"/>
        </w:rPr>
        <w:t>0 eur.</w:t>
      </w:r>
      <w:r w:rsidR="00B84874" w:rsidRPr="005C554E">
        <w:rPr>
          <w:rFonts w:asciiTheme="minorHAnsi" w:hAnsiTheme="minorHAnsi" w:cstheme="minorHAnsi"/>
          <w:lang w:val="ro-RO"/>
        </w:rPr>
        <w:t xml:space="preserve"> Proiectul se desfășoară pe o perioadă de 30 de luni (1 iulie 2020 – 31 decembrie 2022) și valorifică experiența din alte proiecte internaționale </w:t>
      </w:r>
      <w:r w:rsidR="00B84874" w:rsidRPr="005C554E">
        <w:rPr>
          <w:rFonts w:asciiTheme="minorHAnsi" w:hAnsiTheme="minorHAnsi" w:cstheme="minorHAnsi"/>
          <w:lang w:val="ro-RO"/>
        </w:rPr>
        <w:lastRenderedPageBreak/>
        <w:t xml:space="preserve">(CD-MEDICS, LQ-CELIAC </w:t>
      </w:r>
      <w:r w:rsidR="00E34D39" w:rsidRPr="005C554E">
        <w:rPr>
          <w:rFonts w:asciiTheme="minorHAnsi" w:hAnsiTheme="minorHAnsi" w:cstheme="minorHAnsi"/>
          <w:lang w:val="ro-RO"/>
        </w:rPr>
        <w:t>și</w:t>
      </w:r>
      <w:r w:rsidR="00B84874" w:rsidRPr="005C554E">
        <w:rPr>
          <w:rFonts w:asciiTheme="minorHAnsi" w:hAnsiTheme="minorHAnsi" w:cstheme="minorHAnsi"/>
          <w:lang w:val="ro-RO"/>
        </w:rPr>
        <w:t xml:space="preserve"> Focus IN CD). </w:t>
      </w:r>
    </w:p>
    <w:p w14:paraId="0016E9FE" w14:textId="5A432F1A" w:rsidR="007C55CE" w:rsidRPr="005C554E" w:rsidRDefault="007C55CE" w:rsidP="00187403">
      <w:pPr>
        <w:pStyle w:val="BodyText"/>
        <w:spacing w:before="200" w:line="360" w:lineRule="auto"/>
        <w:ind w:left="136" w:right="130"/>
        <w:jc w:val="both"/>
        <w:rPr>
          <w:rFonts w:asciiTheme="minorHAnsi" w:hAnsiTheme="minorHAnsi" w:cstheme="minorHAnsi"/>
          <w:bCs/>
          <w:lang w:val="ro-RO"/>
        </w:rPr>
      </w:pPr>
    </w:p>
    <w:p w14:paraId="24DE93D9" w14:textId="358C6C5E" w:rsidR="00187403" w:rsidRDefault="00187403" w:rsidP="00F90A84">
      <w:pPr>
        <w:pStyle w:val="BodyText"/>
        <w:spacing w:line="360" w:lineRule="auto"/>
        <w:ind w:left="136" w:right="130"/>
        <w:jc w:val="both"/>
        <w:rPr>
          <w:lang w:val="ro-RO"/>
        </w:rPr>
      </w:pPr>
    </w:p>
    <w:p w14:paraId="67261D60" w14:textId="2257332B" w:rsidR="00AA32C8" w:rsidRPr="002E2B71" w:rsidRDefault="00AA32C8" w:rsidP="00F90A84">
      <w:pPr>
        <w:pStyle w:val="BodyText"/>
        <w:spacing w:line="360" w:lineRule="auto"/>
        <w:ind w:left="136" w:right="130"/>
        <w:jc w:val="both"/>
        <w:rPr>
          <w:sz w:val="20"/>
          <w:lang w:val="ro-RO"/>
        </w:rPr>
      </w:pPr>
      <w:r w:rsidRPr="002E2B71">
        <w:rPr>
          <w:sz w:val="20"/>
          <w:lang w:val="ro-RO"/>
        </w:rPr>
        <w:t>Mai multe informații despre proiect:</w:t>
      </w:r>
    </w:p>
    <w:p w14:paraId="4E979550" w14:textId="77777777" w:rsidR="00AA32C8" w:rsidRPr="002E2B71" w:rsidRDefault="003C7435" w:rsidP="00AA32C8">
      <w:pPr>
        <w:spacing w:line="0" w:lineRule="atLeast"/>
        <w:ind w:left="142"/>
        <w:rPr>
          <w:rFonts w:ascii="Trebuchet MS" w:eastAsia="Trebuchet MS" w:hAnsi="Trebuchet MS"/>
          <w:color w:val="0000FF"/>
          <w:sz w:val="20"/>
          <w:u w:val="single"/>
        </w:rPr>
      </w:pPr>
      <w:hyperlink r:id="rId9" w:history="1">
        <w:r w:rsidR="00AA32C8" w:rsidRPr="002E2B71">
          <w:rPr>
            <w:rFonts w:ascii="Trebuchet MS" w:eastAsia="Trebuchet MS" w:hAnsi="Trebuchet MS"/>
            <w:color w:val="0000FF"/>
            <w:sz w:val="20"/>
            <w:u w:val="single"/>
          </w:rPr>
          <w:t>http://www.interreg-danube.eu/approved-projects/cd-skills</w:t>
        </w:r>
      </w:hyperlink>
    </w:p>
    <w:p w14:paraId="0652CBCC" w14:textId="77777777" w:rsidR="00AA32C8" w:rsidRPr="002E2B71" w:rsidRDefault="00AA32C8" w:rsidP="00F90A84">
      <w:pPr>
        <w:pStyle w:val="BodyText"/>
        <w:spacing w:line="360" w:lineRule="auto"/>
        <w:ind w:left="136" w:right="130"/>
        <w:jc w:val="both"/>
        <w:rPr>
          <w:sz w:val="20"/>
          <w:lang w:val="ro-RO"/>
        </w:rPr>
      </w:pPr>
    </w:p>
    <w:p w14:paraId="45CFB8F9" w14:textId="4E085ECA" w:rsidR="00F90A84" w:rsidRPr="002E2B71" w:rsidRDefault="00AA32C8" w:rsidP="00F90A84">
      <w:pPr>
        <w:pStyle w:val="BodyText"/>
        <w:spacing w:line="360" w:lineRule="auto"/>
        <w:ind w:left="136" w:right="130"/>
        <w:jc w:val="both"/>
        <w:rPr>
          <w:sz w:val="20"/>
          <w:lang w:val="ro-RO"/>
        </w:rPr>
      </w:pPr>
      <w:r w:rsidRPr="002E2B71">
        <w:rPr>
          <w:sz w:val="20"/>
          <w:lang w:val="ro-RO"/>
        </w:rPr>
        <w:t>Institutul pentru Sănătatea Mamei și Copilului “Alessandrescu-Rusescu” București (INSMC)</w:t>
      </w:r>
    </w:p>
    <w:p w14:paraId="32295A94" w14:textId="3D4B682C" w:rsidR="00AA32C8" w:rsidRPr="002E2B71" w:rsidRDefault="003C7435" w:rsidP="00F90A84">
      <w:pPr>
        <w:pStyle w:val="BodyText"/>
        <w:spacing w:line="360" w:lineRule="auto"/>
        <w:ind w:left="136" w:right="130"/>
        <w:jc w:val="both"/>
        <w:rPr>
          <w:rStyle w:val="Hyperlink"/>
          <w:sz w:val="20"/>
          <w:lang w:val="ro-RO"/>
        </w:rPr>
      </w:pPr>
      <w:hyperlink r:id="rId10" w:history="1">
        <w:r w:rsidR="00AA32C8" w:rsidRPr="002E2B71">
          <w:rPr>
            <w:rStyle w:val="Hyperlink"/>
            <w:sz w:val="20"/>
            <w:lang w:val="ro-RO"/>
          </w:rPr>
          <w:t>www.insmc.ro</w:t>
        </w:r>
      </w:hyperlink>
    </w:p>
    <w:p w14:paraId="10E84704" w14:textId="77777777" w:rsidR="00AA32C8" w:rsidRPr="002E2B71" w:rsidRDefault="00AA32C8" w:rsidP="00F90A84">
      <w:pPr>
        <w:pStyle w:val="BodyText"/>
        <w:spacing w:line="360" w:lineRule="auto"/>
        <w:ind w:left="136" w:right="130"/>
        <w:jc w:val="both"/>
        <w:rPr>
          <w:rStyle w:val="Hyperlink"/>
          <w:sz w:val="20"/>
          <w:lang w:val="ro-RO"/>
        </w:rPr>
      </w:pPr>
    </w:p>
    <w:p w14:paraId="5E3F02A0" w14:textId="0FBEE9CF" w:rsidR="00AA32C8" w:rsidRPr="002E2B71" w:rsidRDefault="00AA32C8" w:rsidP="00AA32C8">
      <w:pPr>
        <w:pStyle w:val="BodyText"/>
        <w:spacing w:line="360" w:lineRule="auto"/>
        <w:ind w:left="136" w:right="130"/>
        <w:jc w:val="both"/>
        <w:rPr>
          <w:sz w:val="20"/>
          <w:lang w:val="ro-RO"/>
        </w:rPr>
      </w:pPr>
      <w:r w:rsidRPr="002E2B71">
        <w:rPr>
          <w:sz w:val="20"/>
          <w:lang w:val="ro-RO"/>
        </w:rPr>
        <w:t>Centrul de Management pentru Boală Celiacă</w:t>
      </w:r>
    </w:p>
    <w:p w14:paraId="2A1C5AE7" w14:textId="5D5F5040" w:rsidR="00AA32C8" w:rsidRPr="002E2B71" w:rsidRDefault="003C7435" w:rsidP="00AA32C8">
      <w:pPr>
        <w:pStyle w:val="BodyText"/>
        <w:spacing w:line="360" w:lineRule="auto"/>
        <w:ind w:left="136" w:right="130"/>
        <w:jc w:val="both"/>
        <w:rPr>
          <w:sz w:val="20"/>
          <w:lang w:val="ro-RO"/>
        </w:rPr>
      </w:pPr>
      <w:hyperlink r:id="rId11" w:history="1">
        <w:r w:rsidR="00AA32C8" w:rsidRPr="002E2B71">
          <w:rPr>
            <w:rStyle w:val="Hyperlink"/>
            <w:sz w:val="20"/>
            <w:lang w:val="ro-RO"/>
          </w:rPr>
          <w:t>https://www.insmc.ro/compartimente/centrul-regional-pentru-managementul-bolii-celiace/</w:t>
        </w:r>
      </w:hyperlink>
      <w:r w:rsidR="00AA32C8" w:rsidRPr="002E2B71">
        <w:rPr>
          <w:sz w:val="20"/>
          <w:lang w:val="ro-RO"/>
        </w:rPr>
        <w:t xml:space="preserve"> </w:t>
      </w:r>
    </w:p>
    <w:p w14:paraId="2E4F3996" w14:textId="77777777" w:rsidR="00AA32C8" w:rsidRPr="00F070DE" w:rsidRDefault="00AA32C8" w:rsidP="00F90A84">
      <w:pPr>
        <w:pStyle w:val="BodyText"/>
        <w:spacing w:line="360" w:lineRule="auto"/>
        <w:ind w:left="136" w:right="130"/>
        <w:jc w:val="both"/>
        <w:rPr>
          <w:rStyle w:val="Hyperlink"/>
          <w:lang w:val="ro-RO"/>
        </w:rPr>
      </w:pPr>
    </w:p>
    <w:p w14:paraId="4B823D9C" w14:textId="77777777" w:rsidR="00F90A84" w:rsidRPr="00F070DE" w:rsidRDefault="00F90A84" w:rsidP="00F90A84">
      <w:pPr>
        <w:pStyle w:val="BodyText"/>
        <w:spacing w:line="360" w:lineRule="auto"/>
        <w:ind w:left="136" w:right="130"/>
        <w:jc w:val="both"/>
        <w:rPr>
          <w:lang w:val="ro-RO"/>
        </w:rPr>
      </w:pPr>
    </w:p>
    <w:sectPr w:rsidR="00F90A84" w:rsidRPr="00F070DE" w:rsidSect="002F6B40">
      <w:footerReference w:type="default" r:id="rId12"/>
      <w:pgSz w:w="11910" w:h="16840"/>
      <w:pgMar w:top="1276" w:right="1280" w:bottom="1985" w:left="1280" w:header="708" w:footer="5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2D7E2" w14:textId="77777777" w:rsidR="003C7435" w:rsidRDefault="003C7435" w:rsidP="006D70B0">
      <w:r>
        <w:separator/>
      </w:r>
    </w:p>
  </w:endnote>
  <w:endnote w:type="continuationSeparator" w:id="0">
    <w:p w14:paraId="1E26B4A0" w14:textId="77777777" w:rsidR="003C7435" w:rsidRDefault="003C7435" w:rsidP="006D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851345"/>
      <w:docPartObj>
        <w:docPartGallery w:val="Page Numbers (Bottom of Page)"/>
        <w:docPartUnique/>
      </w:docPartObj>
    </w:sdtPr>
    <w:sdtEndPr>
      <w:rPr>
        <w:noProof/>
      </w:rPr>
    </w:sdtEndPr>
    <w:sdtContent>
      <w:p w14:paraId="441E0CD2" w14:textId="707CE513" w:rsidR="00F90A84" w:rsidRDefault="00F90A84" w:rsidP="002F6B40">
        <w:pPr>
          <w:pStyle w:val="Footer"/>
          <w:jc w:val="center"/>
          <w:rPr>
            <w:sz w:val="18"/>
            <w:lang w:val="en-US"/>
          </w:rPr>
        </w:pPr>
        <w:r w:rsidRPr="00F90A84">
          <w:rPr>
            <w:sz w:val="18"/>
            <w:lang w:val="en-US"/>
          </w:rPr>
          <w:t>Institutul pentru Sănătatea Mamei și Copilului “Alessandrescu-Rusescu” București (INSMC)</w:t>
        </w:r>
      </w:p>
      <w:p w14:paraId="34F06B39" w14:textId="5947E35C" w:rsidR="00F90A84" w:rsidRPr="00F90A84" w:rsidRDefault="00F90A84" w:rsidP="00F90A84">
        <w:pPr>
          <w:pStyle w:val="Footer"/>
          <w:jc w:val="center"/>
          <w:rPr>
            <w:sz w:val="18"/>
            <w:lang w:val="en-US"/>
          </w:rPr>
        </w:pPr>
        <w:r w:rsidRPr="00F90A84">
          <w:rPr>
            <w:sz w:val="18"/>
            <w:lang w:val="en-US"/>
          </w:rPr>
          <w:t>Bd. Lacul Tei nr.120, Sector 2, cod 020395, București</w:t>
        </w:r>
        <w:r>
          <w:rPr>
            <w:sz w:val="18"/>
            <w:lang w:val="en-US"/>
          </w:rPr>
          <w:t xml:space="preserve">, </w:t>
        </w:r>
        <w:r w:rsidRPr="00F90A84">
          <w:rPr>
            <w:sz w:val="18"/>
            <w:lang w:val="en-US"/>
          </w:rPr>
          <w:t>Tel: 021-242.27.13</w:t>
        </w:r>
      </w:p>
      <w:p w14:paraId="1C5735D3" w14:textId="4961632B" w:rsidR="00F90A84" w:rsidRDefault="00F90A84" w:rsidP="00F90A84">
        <w:pPr>
          <w:pStyle w:val="Footer"/>
          <w:jc w:val="center"/>
          <w:rPr>
            <w:sz w:val="18"/>
            <w:lang w:val="en-US"/>
          </w:rPr>
        </w:pPr>
        <w:r>
          <w:rPr>
            <w:sz w:val="18"/>
            <w:lang w:val="en-US"/>
          </w:rPr>
          <w:t>www.insmc.ro</w:t>
        </w:r>
      </w:p>
      <w:p w14:paraId="757D64E8" w14:textId="600F3BE3" w:rsidR="00C270B1" w:rsidRDefault="00C270B1" w:rsidP="00F90A84">
        <w:pPr>
          <w:pStyle w:val="Footer"/>
          <w:jc w:val="right"/>
        </w:pPr>
        <w:r w:rsidRPr="000F5DBC">
          <w:rPr>
            <w:sz w:val="18"/>
          </w:rPr>
          <w:fldChar w:fldCharType="begin"/>
        </w:r>
        <w:r w:rsidRPr="000F5DBC">
          <w:rPr>
            <w:sz w:val="18"/>
          </w:rPr>
          <w:instrText xml:space="preserve"> PAGE   \* MERGEFORMAT </w:instrText>
        </w:r>
        <w:r w:rsidRPr="000F5DBC">
          <w:rPr>
            <w:sz w:val="18"/>
          </w:rPr>
          <w:fldChar w:fldCharType="separate"/>
        </w:r>
        <w:r w:rsidR="00AB770E">
          <w:rPr>
            <w:noProof/>
            <w:sz w:val="18"/>
          </w:rPr>
          <w:t>4</w:t>
        </w:r>
        <w:r w:rsidRPr="000F5DBC">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F681" w14:textId="77777777" w:rsidR="003C7435" w:rsidRDefault="003C7435" w:rsidP="006D70B0">
      <w:r>
        <w:separator/>
      </w:r>
    </w:p>
  </w:footnote>
  <w:footnote w:type="continuationSeparator" w:id="0">
    <w:p w14:paraId="7AEB725F" w14:textId="77777777" w:rsidR="003C7435" w:rsidRDefault="003C7435" w:rsidP="006D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CE"/>
    <w:rsid w:val="00015F80"/>
    <w:rsid w:val="00017F22"/>
    <w:rsid w:val="00050D6D"/>
    <w:rsid w:val="00053CF4"/>
    <w:rsid w:val="000826DE"/>
    <w:rsid w:val="000B73D3"/>
    <w:rsid w:val="000D1942"/>
    <w:rsid w:val="000E2408"/>
    <w:rsid w:val="000E6353"/>
    <w:rsid w:val="000F5DBC"/>
    <w:rsid w:val="000F74CD"/>
    <w:rsid w:val="00140979"/>
    <w:rsid w:val="00146D29"/>
    <w:rsid w:val="00182416"/>
    <w:rsid w:val="00187403"/>
    <w:rsid w:val="00187BDA"/>
    <w:rsid w:val="0019625E"/>
    <w:rsid w:val="001967E3"/>
    <w:rsid w:val="001F1CE3"/>
    <w:rsid w:val="0021659C"/>
    <w:rsid w:val="002E2B71"/>
    <w:rsid w:val="002F6B40"/>
    <w:rsid w:val="00315955"/>
    <w:rsid w:val="00321FBE"/>
    <w:rsid w:val="003336B9"/>
    <w:rsid w:val="00363038"/>
    <w:rsid w:val="00365D14"/>
    <w:rsid w:val="00371573"/>
    <w:rsid w:val="003A2B07"/>
    <w:rsid w:val="003C7435"/>
    <w:rsid w:val="003D5559"/>
    <w:rsid w:val="003E0E2B"/>
    <w:rsid w:val="003F10C8"/>
    <w:rsid w:val="00427FB0"/>
    <w:rsid w:val="004564DB"/>
    <w:rsid w:val="00474EEF"/>
    <w:rsid w:val="00486DAB"/>
    <w:rsid w:val="004A495F"/>
    <w:rsid w:val="004D3D99"/>
    <w:rsid w:val="004D4E28"/>
    <w:rsid w:val="0053539A"/>
    <w:rsid w:val="00545822"/>
    <w:rsid w:val="0055071F"/>
    <w:rsid w:val="005650BC"/>
    <w:rsid w:val="00593937"/>
    <w:rsid w:val="005C554E"/>
    <w:rsid w:val="005F679C"/>
    <w:rsid w:val="00627050"/>
    <w:rsid w:val="00640354"/>
    <w:rsid w:val="00665969"/>
    <w:rsid w:val="006D70B0"/>
    <w:rsid w:val="006E4E6B"/>
    <w:rsid w:val="006E6224"/>
    <w:rsid w:val="007435EC"/>
    <w:rsid w:val="007C3BA4"/>
    <w:rsid w:val="007C4290"/>
    <w:rsid w:val="007C55CE"/>
    <w:rsid w:val="007C7B39"/>
    <w:rsid w:val="007E5A95"/>
    <w:rsid w:val="0084185D"/>
    <w:rsid w:val="008609EE"/>
    <w:rsid w:val="0087340F"/>
    <w:rsid w:val="008A4303"/>
    <w:rsid w:val="008F30D2"/>
    <w:rsid w:val="0090167E"/>
    <w:rsid w:val="009B7B60"/>
    <w:rsid w:val="00A10DF1"/>
    <w:rsid w:val="00A65F80"/>
    <w:rsid w:val="00A9557D"/>
    <w:rsid w:val="00AA32C8"/>
    <w:rsid w:val="00AB770E"/>
    <w:rsid w:val="00AE4B42"/>
    <w:rsid w:val="00B84874"/>
    <w:rsid w:val="00BB35B7"/>
    <w:rsid w:val="00BB4B2D"/>
    <w:rsid w:val="00BC4C12"/>
    <w:rsid w:val="00BF38BD"/>
    <w:rsid w:val="00BF6CD7"/>
    <w:rsid w:val="00C01B37"/>
    <w:rsid w:val="00C270B1"/>
    <w:rsid w:val="00C60C31"/>
    <w:rsid w:val="00C846D7"/>
    <w:rsid w:val="00C95C16"/>
    <w:rsid w:val="00CC41BB"/>
    <w:rsid w:val="00D0567B"/>
    <w:rsid w:val="00D2614E"/>
    <w:rsid w:val="00D36BD3"/>
    <w:rsid w:val="00D374EA"/>
    <w:rsid w:val="00DD7067"/>
    <w:rsid w:val="00E00DE2"/>
    <w:rsid w:val="00E1052E"/>
    <w:rsid w:val="00E34D39"/>
    <w:rsid w:val="00E42A14"/>
    <w:rsid w:val="00E84196"/>
    <w:rsid w:val="00F070DE"/>
    <w:rsid w:val="00F30492"/>
    <w:rsid w:val="00F73207"/>
    <w:rsid w:val="00F83BD8"/>
    <w:rsid w:val="00F90A84"/>
    <w:rsid w:val="00FC693D"/>
    <w:rsid w:val="00FE36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18FB4"/>
  <w15:docId w15:val="{A4AFDD5E-E05A-4B9C-B2A4-40687779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sl-SI"/>
    </w:rPr>
  </w:style>
  <w:style w:type="paragraph" w:styleId="Heading1">
    <w:name w:val="heading 1"/>
    <w:basedOn w:val="Normal"/>
    <w:uiPriority w:val="9"/>
    <w:qFormat/>
    <w:pPr>
      <w:spacing w:before="198"/>
      <w:ind w:left="136" w:right="129"/>
      <w:jc w:val="right"/>
      <w:outlineLvl w:val="0"/>
    </w:pPr>
    <w:rPr>
      <w:b/>
      <w:bCs/>
    </w:rPr>
  </w:style>
  <w:style w:type="paragraph" w:styleId="Heading2">
    <w:name w:val="heading 2"/>
    <w:basedOn w:val="Normal"/>
    <w:next w:val="Normal"/>
    <w:link w:val="Heading2Char"/>
    <w:uiPriority w:val="9"/>
    <w:semiHidden/>
    <w:unhideWhenUsed/>
    <w:qFormat/>
    <w:rsid w:val="007C3B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070D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ind w:left="1775" w:right="1098" w:hanging="663"/>
    </w:pPr>
    <w:rPr>
      <w:rFonts w:ascii="Calibri" w:eastAsia="Calibri" w:hAnsi="Calibri" w:cs="Calibri"/>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EndnoteText">
    <w:name w:val="endnote text"/>
    <w:basedOn w:val="Normal"/>
    <w:link w:val="EndnoteTextChar"/>
    <w:uiPriority w:val="99"/>
    <w:semiHidden/>
    <w:unhideWhenUsed/>
    <w:rsid w:val="006D70B0"/>
    <w:rPr>
      <w:sz w:val="20"/>
      <w:szCs w:val="20"/>
    </w:rPr>
  </w:style>
  <w:style w:type="character" w:customStyle="1" w:styleId="EndnoteTextChar">
    <w:name w:val="Endnote Text Char"/>
    <w:basedOn w:val="DefaultParagraphFont"/>
    <w:link w:val="EndnoteText"/>
    <w:uiPriority w:val="99"/>
    <w:semiHidden/>
    <w:rsid w:val="006D70B0"/>
    <w:rPr>
      <w:rFonts w:ascii="Arial" w:eastAsia="Arial" w:hAnsi="Arial" w:cs="Arial"/>
      <w:sz w:val="20"/>
      <w:szCs w:val="20"/>
      <w:lang w:val="sl-SI"/>
    </w:rPr>
  </w:style>
  <w:style w:type="character" w:styleId="EndnoteReference">
    <w:name w:val="endnote reference"/>
    <w:basedOn w:val="DefaultParagraphFont"/>
    <w:uiPriority w:val="99"/>
    <w:semiHidden/>
    <w:unhideWhenUsed/>
    <w:rsid w:val="006D70B0"/>
    <w:rPr>
      <w:vertAlign w:val="superscript"/>
    </w:rPr>
  </w:style>
  <w:style w:type="character" w:styleId="CommentReference">
    <w:name w:val="annotation reference"/>
    <w:basedOn w:val="DefaultParagraphFont"/>
    <w:uiPriority w:val="99"/>
    <w:semiHidden/>
    <w:unhideWhenUsed/>
    <w:rsid w:val="007C3BA4"/>
    <w:rPr>
      <w:sz w:val="16"/>
      <w:szCs w:val="16"/>
    </w:rPr>
  </w:style>
  <w:style w:type="paragraph" w:styleId="CommentText">
    <w:name w:val="annotation text"/>
    <w:basedOn w:val="Normal"/>
    <w:link w:val="CommentTextChar"/>
    <w:uiPriority w:val="99"/>
    <w:semiHidden/>
    <w:unhideWhenUsed/>
    <w:rsid w:val="007C3BA4"/>
    <w:rPr>
      <w:sz w:val="20"/>
      <w:szCs w:val="20"/>
    </w:rPr>
  </w:style>
  <w:style w:type="character" w:customStyle="1" w:styleId="CommentTextChar">
    <w:name w:val="Comment Text Char"/>
    <w:basedOn w:val="DefaultParagraphFont"/>
    <w:link w:val="CommentText"/>
    <w:uiPriority w:val="99"/>
    <w:semiHidden/>
    <w:rsid w:val="007C3BA4"/>
    <w:rPr>
      <w:rFonts w:ascii="Arial" w:eastAsia="Arial" w:hAnsi="Arial" w:cs="Arial"/>
      <w:sz w:val="20"/>
      <w:szCs w:val="20"/>
      <w:lang w:val="sl-SI"/>
    </w:rPr>
  </w:style>
  <w:style w:type="paragraph" w:styleId="CommentSubject">
    <w:name w:val="annotation subject"/>
    <w:basedOn w:val="CommentText"/>
    <w:next w:val="CommentText"/>
    <w:link w:val="CommentSubjectChar"/>
    <w:uiPriority w:val="99"/>
    <w:semiHidden/>
    <w:unhideWhenUsed/>
    <w:rsid w:val="007C3BA4"/>
    <w:rPr>
      <w:b/>
      <w:bCs/>
    </w:rPr>
  </w:style>
  <w:style w:type="character" w:customStyle="1" w:styleId="CommentSubjectChar">
    <w:name w:val="Comment Subject Char"/>
    <w:basedOn w:val="CommentTextChar"/>
    <w:link w:val="CommentSubject"/>
    <w:uiPriority w:val="99"/>
    <w:semiHidden/>
    <w:rsid w:val="007C3BA4"/>
    <w:rPr>
      <w:rFonts w:ascii="Arial" w:eastAsia="Arial" w:hAnsi="Arial" w:cs="Arial"/>
      <w:b/>
      <w:bCs/>
      <w:sz w:val="20"/>
      <w:szCs w:val="20"/>
      <w:lang w:val="sl-SI"/>
    </w:rPr>
  </w:style>
  <w:style w:type="paragraph" w:styleId="BalloonText">
    <w:name w:val="Balloon Text"/>
    <w:basedOn w:val="Normal"/>
    <w:link w:val="BalloonTextChar"/>
    <w:uiPriority w:val="99"/>
    <w:semiHidden/>
    <w:unhideWhenUsed/>
    <w:rsid w:val="007C3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BA4"/>
    <w:rPr>
      <w:rFonts w:ascii="Segoe UI" w:eastAsia="Arial" w:hAnsi="Segoe UI" w:cs="Segoe UI"/>
      <w:sz w:val="18"/>
      <w:szCs w:val="18"/>
      <w:lang w:val="sl-SI"/>
    </w:rPr>
  </w:style>
  <w:style w:type="character" w:customStyle="1" w:styleId="Heading2Char">
    <w:name w:val="Heading 2 Char"/>
    <w:basedOn w:val="DefaultParagraphFont"/>
    <w:link w:val="Heading2"/>
    <w:uiPriority w:val="1"/>
    <w:rsid w:val="007C3BA4"/>
    <w:rPr>
      <w:rFonts w:asciiTheme="majorHAnsi" w:eastAsiaTheme="majorEastAsia" w:hAnsiTheme="majorHAnsi" w:cstheme="majorBidi"/>
      <w:color w:val="365F91" w:themeColor="accent1" w:themeShade="BF"/>
      <w:sz w:val="26"/>
      <w:szCs w:val="26"/>
      <w:lang w:val="sl-SI"/>
    </w:rPr>
  </w:style>
  <w:style w:type="paragraph" w:styleId="Header">
    <w:name w:val="header"/>
    <w:basedOn w:val="Normal"/>
    <w:link w:val="HeaderChar"/>
    <w:uiPriority w:val="99"/>
    <w:unhideWhenUsed/>
    <w:rsid w:val="00C270B1"/>
    <w:pPr>
      <w:tabs>
        <w:tab w:val="center" w:pos="4513"/>
        <w:tab w:val="right" w:pos="9026"/>
      </w:tabs>
    </w:pPr>
  </w:style>
  <w:style w:type="character" w:customStyle="1" w:styleId="HeaderChar">
    <w:name w:val="Header Char"/>
    <w:basedOn w:val="DefaultParagraphFont"/>
    <w:link w:val="Header"/>
    <w:uiPriority w:val="99"/>
    <w:rsid w:val="00C270B1"/>
    <w:rPr>
      <w:rFonts w:ascii="Arial" w:eastAsia="Arial" w:hAnsi="Arial" w:cs="Arial"/>
      <w:lang w:val="sl-SI"/>
    </w:rPr>
  </w:style>
  <w:style w:type="paragraph" w:styleId="Footer">
    <w:name w:val="footer"/>
    <w:basedOn w:val="Normal"/>
    <w:link w:val="FooterChar"/>
    <w:uiPriority w:val="99"/>
    <w:unhideWhenUsed/>
    <w:rsid w:val="00C270B1"/>
    <w:pPr>
      <w:tabs>
        <w:tab w:val="center" w:pos="4513"/>
        <w:tab w:val="right" w:pos="9026"/>
      </w:tabs>
    </w:pPr>
  </w:style>
  <w:style w:type="character" w:customStyle="1" w:styleId="FooterChar">
    <w:name w:val="Footer Char"/>
    <w:basedOn w:val="DefaultParagraphFont"/>
    <w:link w:val="Footer"/>
    <w:uiPriority w:val="99"/>
    <w:rsid w:val="00C270B1"/>
    <w:rPr>
      <w:rFonts w:ascii="Arial" w:eastAsia="Arial" w:hAnsi="Arial" w:cs="Arial"/>
      <w:lang w:val="sl-SI"/>
    </w:rPr>
  </w:style>
  <w:style w:type="character" w:styleId="Hyperlink">
    <w:name w:val="Hyperlink"/>
    <w:basedOn w:val="DefaultParagraphFont"/>
    <w:uiPriority w:val="99"/>
    <w:unhideWhenUsed/>
    <w:rsid w:val="00187403"/>
    <w:rPr>
      <w:color w:val="0000FF" w:themeColor="hyperlink"/>
      <w:u w:val="single"/>
    </w:rPr>
  </w:style>
  <w:style w:type="table" w:styleId="TableGrid">
    <w:name w:val="Table Grid"/>
    <w:basedOn w:val="TableNormal"/>
    <w:uiPriority w:val="39"/>
    <w:rsid w:val="00F9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70DE"/>
    <w:rPr>
      <w:rFonts w:asciiTheme="majorHAnsi" w:eastAsiaTheme="majorEastAsia" w:hAnsiTheme="majorHAnsi" w:cstheme="majorBidi"/>
      <w:color w:val="243F60" w:themeColor="accent1" w:themeShade="7F"/>
      <w:sz w:val="24"/>
      <w:szCs w:val="24"/>
      <w:lang w:val="sl-SI"/>
    </w:rPr>
  </w:style>
  <w:style w:type="paragraph" w:styleId="HTMLPreformatted">
    <w:name w:val="HTML Preformatted"/>
    <w:basedOn w:val="Normal"/>
    <w:link w:val="HTMLPreformattedChar"/>
    <w:uiPriority w:val="99"/>
    <w:unhideWhenUsed/>
    <w:rsid w:val="005C5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5C554E"/>
    <w:rPr>
      <w:rFonts w:ascii="Courier New" w:eastAsia="Times New Roman" w:hAnsi="Courier New" w:cs="Courier New"/>
      <w:sz w:val="20"/>
      <w:szCs w:val="20"/>
      <w:lang w:val="sl-SI" w:eastAsia="sl-SI"/>
    </w:rPr>
  </w:style>
  <w:style w:type="character" w:customStyle="1" w:styleId="y2iqfc">
    <w:name w:val="y2iqfc"/>
    <w:basedOn w:val="DefaultParagraphFont"/>
    <w:rsid w:val="005C554E"/>
  </w:style>
  <w:style w:type="paragraph" w:styleId="FootnoteText">
    <w:name w:val="footnote text"/>
    <w:basedOn w:val="Normal"/>
    <w:link w:val="FootnoteTextChar"/>
    <w:uiPriority w:val="99"/>
    <w:semiHidden/>
    <w:unhideWhenUsed/>
    <w:rsid w:val="00E00DE2"/>
    <w:rPr>
      <w:sz w:val="20"/>
      <w:szCs w:val="20"/>
    </w:rPr>
  </w:style>
  <w:style w:type="character" w:customStyle="1" w:styleId="FootnoteTextChar">
    <w:name w:val="Footnote Text Char"/>
    <w:basedOn w:val="DefaultParagraphFont"/>
    <w:link w:val="FootnoteText"/>
    <w:uiPriority w:val="99"/>
    <w:semiHidden/>
    <w:rsid w:val="00E00DE2"/>
    <w:rPr>
      <w:rFonts w:ascii="Arial" w:eastAsia="Arial" w:hAnsi="Arial" w:cs="Arial"/>
      <w:sz w:val="20"/>
      <w:szCs w:val="20"/>
      <w:lang w:val="sl-SI"/>
    </w:rPr>
  </w:style>
  <w:style w:type="character" w:styleId="FootnoteReference">
    <w:name w:val="footnote reference"/>
    <w:basedOn w:val="DefaultParagraphFont"/>
    <w:uiPriority w:val="99"/>
    <w:semiHidden/>
    <w:unhideWhenUsed/>
    <w:rsid w:val="00E00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2724">
      <w:bodyDiv w:val="1"/>
      <w:marLeft w:val="0"/>
      <w:marRight w:val="0"/>
      <w:marTop w:val="0"/>
      <w:marBottom w:val="0"/>
      <w:divBdr>
        <w:top w:val="none" w:sz="0" w:space="0" w:color="auto"/>
        <w:left w:val="none" w:sz="0" w:space="0" w:color="auto"/>
        <w:bottom w:val="none" w:sz="0" w:space="0" w:color="auto"/>
        <w:right w:val="none" w:sz="0" w:space="0" w:color="auto"/>
      </w:divBdr>
    </w:div>
    <w:div w:id="694575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mc.ro/compartimente/centrul-regional-pentru-managementul-bolii-celiace/" TargetMode="External"/><Relationship Id="rId5" Type="http://schemas.openxmlformats.org/officeDocument/2006/relationships/footnotes" Target="footnotes.xml"/><Relationship Id="rId10" Type="http://schemas.openxmlformats.org/officeDocument/2006/relationships/hyperlink" Target="http://www.insmc.ro" TargetMode="External"/><Relationship Id="rId4" Type="http://schemas.openxmlformats.org/officeDocument/2006/relationships/webSettings" Target="webSettings.xml"/><Relationship Id="rId9" Type="http://schemas.openxmlformats.org/officeDocument/2006/relationships/hyperlink" Target="http://www.interreg-danube.eu/approved-projects/cd-skil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1112</Words>
  <Characters>6455</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MESTNA OBČINA MARIBOR</vt:lpstr>
      <vt:lpstr>MESTNA OBČINA MARIBOR</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MARIBOR</dc:title>
  <dc:creator>zkralj</dc:creator>
  <cp:lastModifiedBy>OM</cp:lastModifiedBy>
  <cp:revision>6</cp:revision>
  <cp:lastPrinted>2020-10-16T13:46:00Z</cp:lastPrinted>
  <dcterms:created xsi:type="dcterms:W3CDTF">2021-06-10T16:40:00Z</dcterms:created>
  <dcterms:modified xsi:type="dcterms:W3CDTF">2021-06-14T21:04:00Z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2020-09-20T00:00:00Z</vt:filetime>
  </property>
</Properties>
</file>